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8B" w:rsidRPr="006F0E17" w:rsidRDefault="00EB058B" w:rsidP="006F0E17">
      <w:pPr>
        <w:widowControl w:val="0"/>
        <w:jc w:val="center"/>
        <w:rPr>
          <w:rFonts w:ascii="Times New Roman" w:hAnsi="Times New Roman"/>
          <w:color w:val="auto"/>
          <w:kern w:val="2"/>
          <w:sz w:val="52"/>
          <w:szCs w:val="52"/>
        </w:rPr>
      </w:pPr>
    </w:p>
    <w:p w:rsidR="00EB058B" w:rsidRPr="006F0E17" w:rsidRDefault="00EB058B" w:rsidP="006F0E17">
      <w:pPr>
        <w:widowControl w:val="0"/>
        <w:jc w:val="center"/>
        <w:rPr>
          <w:rFonts w:ascii="Times New Roman" w:hAnsi="Times New Roman"/>
          <w:color w:val="auto"/>
          <w:kern w:val="2"/>
          <w:sz w:val="52"/>
          <w:szCs w:val="52"/>
        </w:rPr>
      </w:pPr>
    </w:p>
    <w:p w:rsidR="00EB058B" w:rsidRPr="006F0E17" w:rsidRDefault="00EB058B" w:rsidP="006F0E17">
      <w:pPr>
        <w:widowControl w:val="0"/>
        <w:jc w:val="center"/>
        <w:rPr>
          <w:rFonts w:ascii="Times New Roman" w:hAnsi="Times New Roman"/>
          <w:color w:val="auto"/>
          <w:kern w:val="2"/>
          <w:sz w:val="52"/>
          <w:szCs w:val="52"/>
        </w:rPr>
      </w:pPr>
    </w:p>
    <w:p w:rsidR="00EB058B" w:rsidRPr="006F0E17" w:rsidRDefault="00EB058B" w:rsidP="006F0E17">
      <w:pPr>
        <w:widowControl w:val="0"/>
        <w:jc w:val="center"/>
        <w:rPr>
          <w:rFonts w:ascii="Times New Roman" w:hAnsi="Times New Roman"/>
          <w:color w:val="auto"/>
          <w:kern w:val="2"/>
          <w:sz w:val="52"/>
          <w:szCs w:val="52"/>
        </w:rPr>
      </w:pPr>
    </w:p>
    <w:p w:rsidR="00EB1EF8" w:rsidRDefault="006A7F38" w:rsidP="006A7F38">
      <w:pPr>
        <w:jc w:val="center"/>
        <w:rPr>
          <w:rFonts w:ascii="黑体" w:eastAsia="黑体"/>
          <w:b/>
          <w:bCs/>
          <w:color w:val="FF0000"/>
          <w:sz w:val="44"/>
        </w:rPr>
      </w:pPr>
      <w:r>
        <w:rPr>
          <w:rFonts w:ascii="黑体" w:eastAsia="黑体" w:hint="eastAsia"/>
          <w:b/>
          <w:bCs/>
          <w:color w:val="FF0000"/>
          <w:sz w:val="44"/>
        </w:rPr>
        <w:t>中金黄金股份有限公司</w:t>
      </w:r>
    </w:p>
    <w:p w:rsidR="00EB1EF8" w:rsidRDefault="006A7F38" w:rsidP="000A0F0C">
      <w:pPr>
        <w:spacing w:beforeLines="50"/>
        <w:jc w:val="center"/>
        <w:rPr>
          <w:rFonts w:ascii="黑体" w:eastAsia="黑体"/>
          <w:b/>
          <w:bCs/>
          <w:color w:val="FF0000"/>
          <w:sz w:val="32"/>
        </w:rPr>
      </w:pPr>
      <w:r>
        <w:rPr>
          <w:rFonts w:ascii="黑体" w:eastAsia="黑体" w:hint="eastAsia"/>
          <w:b/>
          <w:bCs/>
          <w:color w:val="FF0000"/>
          <w:sz w:val="32"/>
        </w:rPr>
        <w:t>600489</w:t>
      </w:r>
    </w:p>
    <w:p w:rsidR="00E31784" w:rsidRPr="006F0E17" w:rsidRDefault="00E31784" w:rsidP="006F0E17">
      <w:pPr>
        <w:widowControl w:val="0"/>
        <w:jc w:val="center"/>
        <w:rPr>
          <w:rFonts w:ascii="黑体" w:eastAsia="黑体" w:hAnsi="Times New Roman"/>
          <w:b/>
          <w:color w:val="FF0000"/>
          <w:kern w:val="2"/>
          <w:sz w:val="44"/>
          <w:szCs w:val="44"/>
        </w:rPr>
      </w:pPr>
    </w:p>
    <w:p w:rsidR="00EB058B" w:rsidRDefault="006A7F38" w:rsidP="006A7F38">
      <w:pPr>
        <w:jc w:val="center"/>
        <w:rPr>
          <w:rFonts w:ascii="黑体" w:eastAsia="黑体"/>
          <w:b/>
          <w:bCs/>
          <w:color w:val="FF0000"/>
          <w:sz w:val="44"/>
        </w:rPr>
      </w:pPr>
      <w:r>
        <w:rPr>
          <w:rFonts w:ascii="黑体" w:eastAsia="黑体" w:hint="eastAsia"/>
          <w:b/>
          <w:bCs/>
          <w:color w:val="FF0000"/>
          <w:sz w:val="44"/>
        </w:rPr>
        <w:t>2013年第三季度报告</w:t>
      </w:r>
    </w:p>
    <w:p w:rsidR="00EB058B" w:rsidRPr="006F0E17" w:rsidRDefault="00EB058B" w:rsidP="006F0E17">
      <w:pPr>
        <w:widowControl w:val="0"/>
        <w:jc w:val="both"/>
        <w:rPr>
          <w:rFonts w:ascii="黑体" w:eastAsia="黑体" w:hAnsi="Times New Roman"/>
          <w:b/>
          <w:color w:val="FF0000"/>
          <w:kern w:val="2"/>
          <w:sz w:val="44"/>
          <w:szCs w:val="44"/>
        </w:rPr>
      </w:pPr>
    </w:p>
    <w:p w:rsidR="00EB058B" w:rsidRPr="006F0E17" w:rsidRDefault="00EB058B" w:rsidP="00744B1D">
      <w:pPr>
        <w:widowControl w:val="0"/>
        <w:jc w:val="center"/>
        <w:rPr>
          <w:rFonts w:ascii="黑体" w:eastAsia="黑体" w:hAnsi="Times New Roman"/>
          <w:b/>
          <w:color w:val="FF0000"/>
          <w:kern w:val="2"/>
          <w:sz w:val="44"/>
          <w:szCs w:val="44"/>
        </w:rPr>
      </w:pPr>
      <w:r w:rsidRPr="006F0E17">
        <w:rPr>
          <w:rFonts w:ascii="黑体" w:eastAsia="黑体" w:hAnsi="Times New Roman" w:hint="eastAsia"/>
          <w:b/>
          <w:color w:val="FF0000"/>
          <w:kern w:val="2"/>
          <w:sz w:val="44"/>
          <w:szCs w:val="44"/>
        </w:rPr>
        <w:br w:type="page"/>
      </w:r>
    </w:p>
    <w:p w:rsidR="003E4247" w:rsidRDefault="003E4247" w:rsidP="003E4247">
      <w:pPr>
        <w:jc w:val="center"/>
        <w:rPr>
          <w:b/>
          <w:sz w:val="44"/>
          <w:szCs w:val="44"/>
        </w:rPr>
      </w:pPr>
      <w:r>
        <w:rPr>
          <w:rFonts w:hint="eastAsia"/>
          <w:b/>
          <w:sz w:val="44"/>
          <w:szCs w:val="44"/>
        </w:rPr>
        <w:lastRenderedPageBreak/>
        <w:t>目录</w:t>
      </w:r>
    </w:p>
    <w:p w:rsidR="006A7F38" w:rsidRDefault="00DC509C">
      <w:pPr>
        <w:pStyle w:val="11"/>
        <w:tabs>
          <w:tab w:val="right" w:leader="dot" w:pos="8296"/>
        </w:tabs>
        <w:rPr>
          <w:rFonts w:asciiTheme="minorHAnsi" w:eastAsiaTheme="minorEastAsia" w:hAnsiTheme="minorHAnsi" w:cstheme="minorBidi"/>
          <w:noProof/>
          <w:color w:val="auto"/>
          <w:kern w:val="2"/>
          <w:szCs w:val="22"/>
        </w:rPr>
      </w:pPr>
      <w:r>
        <w:rPr>
          <w:szCs w:val="21"/>
        </w:rPr>
        <w:fldChar w:fldCharType="begin"/>
      </w:r>
      <w:r w:rsidR="003E4247">
        <w:rPr>
          <w:szCs w:val="21"/>
        </w:rPr>
        <w:instrText xml:space="preserve"> TOC \o "1-1" \f \h \z \u </w:instrText>
      </w:r>
      <w:r>
        <w:rPr>
          <w:szCs w:val="21"/>
        </w:rPr>
        <w:fldChar w:fldCharType="separate"/>
      </w:r>
      <w:hyperlink w:anchor="_Toc369878448" w:history="1">
        <w:r w:rsidR="006A7F38" w:rsidRPr="004121B5">
          <w:rPr>
            <w:rStyle w:val="a3"/>
            <w:rFonts w:hAnsi="Times New Roman" w:hint="eastAsia"/>
            <w:noProof/>
          </w:rPr>
          <w:t>一、</w:t>
        </w:r>
        <w:r w:rsidR="006A7F38" w:rsidRPr="004121B5">
          <w:rPr>
            <w:rStyle w:val="a3"/>
            <w:rFonts w:hAnsi="Times New Roman"/>
            <w:noProof/>
          </w:rPr>
          <w:t xml:space="preserve"> </w:t>
        </w:r>
        <w:r w:rsidR="006A7F38" w:rsidRPr="004121B5">
          <w:rPr>
            <w:rStyle w:val="a3"/>
            <w:noProof/>
          </w:rPr>
          <w:t xml:space="preserve"> </w:t>
        </w:r>
        <w:r w:rsidR="006A7F38" w:rsidRPr="004121B5">
          <w:rPr>
            <w:rStyle w:val="a3"/>
            <w:rFonts w:hint="eastAsia"/>
            <w:noProof/>
          </w:rPr>
          <w:t>重要提示</w:t>
        </w:r>
        <w:r w:rsidR="006A7F38">
          <w:rPr>
            <w:noProof/>
            <w:webHidden/>
          </w:rPr>
          <w:tab/>
        </w:r>
        <w:r>
          <w:rPr>
            <w:noProof/>
            <w:webHidden/>
          </w:rPr>
          <w:fldChar w:fldCharType="begin"/>
        </w:r>
        <w:r w:rsidR="006A7F38">
          <w:rPr>
            <w:noProof/>
            <w:webHidden/>
          </w:rPr>
          <w:instrText xml:space="preserve"> PAGEREF _Toc369878448 \h </w:instrText>
        </w:r>
        <w:r>
          <w:rPr>
            <w:noProof/>
            <w:webHidden/>
          </w:rPr>
        </w:r>
        <w:r>
          <w:rPr>
            <w:noProof/>
            <w:webHidden/>
          </w:rPr>
          <w:fldChar w:fldCharType="separate"/>
        </w:r>
        <w:r w:rsidR="00D449DA">
          <w:rPr>
            <w:noProof/>
            <w:webHidden/>
          </w:rPr>
          <w:t>3</w:t>
        </w:r>
        <w:r>
          <w:rPr>
            <w:noProof/>
            <w:webHidden/>
          </w:rPr>
          <w:fldChar w:fldCharType="end"/>
        </w:r>
      </w:hyperlink>
    </w:p>
    <w:p w:rsidR="006A7F38" w:rsidRDefault="00DC509C">
      <w:pPr>
        <w:pStyle w:val="11"/>
        <w:tabs>
          <w:tab w:val="right" w:leader="dot" w:pos="8296"/>
        </w:tabs>
        <w:rPr>
          <w:rFonts w:asciiTheme="minorHAnsi" w:eastAsiaTheme="minorEastAsia" w:hAnsiTheme="minorHAnsi" w:cstheme="minorBidi"/>
          <w:noProof/>
          <w:color w:val="auto"/>
          <w:kern w:val="2"/>
          <w:szCs w:val="22"/>
        </w:rPr>
      </w:pPr>
      <w:hyperlink w:anchor="_Toc369878449" w:history="1">
        <w:r w:rsidR="006A7F38" w:rsidRPr="004121B5">
          <w:rPr>
            <w:rStyle w:val="a3"/>
            <w:rFonts w:hAnsi="Times New Roman" w:hint="eastAsia"/>
            <w:noProof/>
          </w:rPr>
          <w:t>二、</w:t>
        </w:r>
        <w:r w:rsidR="006A7F38" w:rsidRPr="004121B5">
          <w:rPr>
            <w:rStyle w:val="a3"/>
            <w:rFonts w:hAnsi="Times New Roman"/>
            <w:noProof/>
          </w:rPr>
          <w:t xml:space="preserve"> </w:t>
        </w:r>
        <w:r w:rsidR="006A7F38" w:rsidRPr="004121B5">
          <w:rPr>
            <w:rStyle w:val="a3"/>
            <w:noProof/>
          </w:rPr>
          <w:t xml:space="preserve"> </w:t>
        </w:r>
        <w:r w:rsidR="006A7F38" w:rsidRPr="004121B5">
          <w:rPr>
            <w:rStyle w:val="a3"/>
            <w:rFonts w:hint="eastAsia"/>
            <w:noProof/>
          </w:rPr>
          <w:t>公司主要财务数据和股东变化</w:t>
        </w:r>
        <w:r w:rsidR="006A7F38">
          <w:rPr>
            <w:noProof/>
            <w:webHidden/>
          </w:rPr>
          <w:tab/>
        </w:r>
        <w:r>
          <w:rPr>
            <w:noProof/>
            <w:webHidden/>
          </w:rPr>
          <w:fldChar w:fldCharType="begin"/>
        </w:r>
        <w:r w:rsidR="006A7F38">
          <w:rPr>
            <w:noProof/>
            <w:webHidden/>
          </w:rPr>
          <w:instrText xml:space="preserve"> PAGEREF _Toc369878449 \h </w:instrText>
        </w:r>
        <w:r>
          <w:rPr>
            <w:noProof/>
            <w:webHidden/>
          </w:rPr>
        </w:r>
        <w:r>
          <w:rPr>
            <w:noProof/>
            <w:webHidden/>
          </w:rPr>
          <w:fldChar w:fldCharType="separate"/>
        </w:r>
        <w:r w:rsidR="00D449DA">
          <w:rPr>
            <w:noProof/>
            <w:webHidden/>
          </w:rPr>
          <w:t>4</w:t>
        </w:r>
        <w:r>
          <w:rPr>
            <w:noProof/>
            <w:webHidden/>
          </w:rPr>
          <w:fldChar w:fldCharType="end"/>
        </w:r>
      </w:hyperlink>
    </w:p>
    <w:p w:rsidR="006A7F38" w:rsidRDefault="00DC509C">
      <w:pPr>
        <w:pStyle w:val="11"/>
        <w:tabs>
          <w:tab w:val="right" w:leader="dot" w:pos="8296"/>
        </w:tabs>
        <w:rPr>
          <w:rFonts w:asciiTheme="minorHAnsi" w:eastAsiaTheme="minorEastAsia" w:hAnsiTheme="minorHAnsi" w:cstheme="minorBidi"/>
          <w:noProof/>
          <w:color w:val="auto"/>
          <w:kern w:val="2"/>
          <w:szCs w:val="22"/>
        </w:rPr>
      </w:pPr>
      <w:hyperlink w:anchor="_Toc369878450" w:history="1">
        <w:r w:rsidR="006A7F38" w:rsidRPr="004121B5">
          <w:rPr>
            <w:rStyle w:val="a3"/>
            <w:rFonts w:hAnsi="Times New Roman" w:hint="eastAsia"/>
            <w:noProof/>
          </w:rPr>
          <w:t>三、</w:t>
        </w:r>
        <w:r w:rsidR="006A7F38" w:rsidRPr="004121B5">
          <w:rPr>
            <w:rStyle w:val="a3"/>
            <w:rFonts w:hAnsi="Times New Roman"/>
            <w:noProof/>
          </w:rPr>
          <w:t xml:space="preserve"> </w:t>
        </w:r>
        <w:r w:rsidR="006A7F38" w:rsidRPr="004121B5">
          <w:rPr>
            <w:rStyle w:val="a3"/>
            <w:noProof/>
          </w:rPr>
          <w:t xml:space="preserve"> </w:t>
        </w:r>
        <w:r w:rsidR="006A7F38" w:rsidRPr="004121B5">
          <w:rPr>
            <w:rStyle w:val="a3"/>
            <w:rFonts w:hint="eastAsia"/>
            <w:noProof/>
          </w:rPr>
          <w:t>重要事项</w:t>
        </w:r>
        <w:r w:rsidR="006A7F38">
          <w:rPr>
            <w:noProof/>
            <w:webHidden/>
          </w:rPr>
          <w:tab/>
        </w:r>
        <w:r>
          <w:rPr>
            <w:noProof/>
            <w:webHidden/>
          </w:rPr>
          <w:fldChar w:fldCharType="begin"/>
        </w:r>
        <w:r w:rsidR="006A7F38">
          <w:rPr>
            <w:noProof/>
            <w:webHidden/>
          </w:rPr>
          <w:instrText xml:space="preserve"> PAGEREF _Toc369878450 \h </w:instrText>
        </w:r>
        <w:r>
          <w:rPr>
            <w:noProof/>
            <w:webHidden/>
          </w:rPr>
        </w:r>
        <w:r>
          <w:rPr>
            <w:noProof/>
            <w:webHidden/>
          </w:rPr>
          <w:fldChar w:fldCharType="separate"/>
        </w:r>
        <w:r w:rsidR="00D449DA">
          <w:rPr>
            <w:noProof/>
            <w:webHidden/>
          </w:rPr>
          <w:t>7</w:t>
        </w:r>
        <w:r>
          <w:rPr>
            <w:noProof/>
            <w:webHidden/>
          </w:rPr>
          <w:fldChar w:fldCharType="end"/>
        </w:r>
      </w:hyperlink>
    </w:p>
    <w:p w:rsidR="006A7F38" w:rsidRDefault="00DC509C">
      <w:pPr>
        <w:pStyle w:val="11"/>
        <w:tabs>
          <w:tab w:val="right" w:leader="dot" w:pos="8296"/>
        </w:tabs>
        <w:rPr>
          <w:rFonts w:asciiTheme="minorHAnsi" w:eastAsiaTheme="minorEastAsia" w:hAnsiTheme="minorHAnsi" w:cstheme="minorBidi"/>
          <w:noProof/>
          <w:color w:val="auto"/>
          <w:kern w:val="2"/>
          <w:szCs w:val="22"/>
        </w:rPr>
      </w:pPr>
      <w:hyperlink w:anchor="_Toc369878451" w:history="1">
        <w:r w:rsidR="006A7F38" w:rsidRPr="004121B5">
          <w:rPr>
            <w:rStyle w:val="a3"/>
            <w:rFonts w:hAnsi="Times New Roman" w:hint="eastAsia"/>
            <w:noProof/>
          </w:rPr>
          <w:t>四、</w:t>
        </w:r>
        <w:r w:rsidR="006A7F38" w:rsidRPr="004121B5">
          <w:rPr>
            <w:rStyle w:val="a3"/>
            <w:rFonts w:hAnsi="Times New Roman"/>
            <w:noProof/>
          </w:rPr>
          <w:t xml:space="preserve"> </w:t>
        </w:r>
        <w:r w:rsidR="006A7F38" w:rsidRPr="004121B5">
          <w:rPr>
            <w:rStyle w:val="a3"/>
            <w:noProof/>
          </w:rPr>
          <w:t xml:space="preserve"> </w:t>
        </w:r>
        <w:r w:rsidR="006A7F38" w:rsidRPr="004121B5">
          <w:rPr>
            <w:rStyle w:val="a3"/>
            <w:rFonts w:hint="eastAsia"/>
            <w:noProof/>
          </w:rPr>
          <w:t>附录</w:t>
        </w:r>
        <w:r w:rsidR="006A7F38">
          <w:rPr>
            <w:noProof/>
            <w:webHidden/>
          </w:rPr>
          <w:tab/>
        </w:r>
        <w:r>
          <w:rPr>
            <w:noProof/>
            <w:webHidden/>
          </w:rPr>
          <w:fldChar w:fldCharType="begin"/>
        </w:r>
        <w:r w:rsidR="006A7F38">
          <w:rPr>
            <w:noProof/>
            <w:webHidden/>
          </w:rPr>
          <w:instrText xml:space="preserve"> PAGEREF _Toc369878451 \h </w:instrText>
        </w:r>
        <w:r>
          <w:rPr>
            <w:noProof/>
            <w:webHidden/>
          </w:rPr>
        </w:r>
        <w:r>
          <w:rPr>
            <w:noProof/>
            <w:webHidden/>
          </w:rPr>
          <w:fldChar w:fldCharType="separate"/>
        </w:r>
        <w:r w:rsidR="00D449DA">
          <w:rPr>
            <w:noProof/>
            <w:webHidden/>
          </w:rPr>
          <w:t>9</w:t>
        </w:r>
        <w:r>
          <w:rPr>
            <w:noProof/>
            <w:webHidden/>
          </w:rPr>
          <w:fldChar w:fldCharType="end"/>
        </w:r>
      </w:hyperlink>
    </w:p>
    <w:p w:rsidR="003E4247" w:rsidRDefault="00DC509C" w:rsidP="003E4247">
      <w:pPr>
        <w:rPr>
          <w:szCs w:val="21"/>
        </w:rPr>
        <w:sectPr w:rsidR="003E4247" w:rsidSect="006A7A5D">
          <w:headerReference w:type="default" r:id="rId8"/>
          <w:footerReference w:type="default" r:id="rId9"/>
          <w:pgSz w:w="11906" w:h="16838"/>
          <w:pgMar w:top="1440" w:right="1800" w:bottom="1440" w:left="1800" w:header="851" w:footer="992" w:gutter="0"/>
          <w:cols w:space="720"/>
          <w:docGrid w:type="lines" w:linePitch="312"/>
        </w:sectPr>
      </w:pPr>
      <w:r>
        <w:rPr>
          <w:szCs w:val="21"/>
        </w:rPr>
        <w:fldChar w:fldCharType="end"/>
      </w:r>
    </w:p>
    <w:p w:rsidR="006A7F38" w:rsidRDefault="006A7F38">
      <w:pPr>
        <w:pStyle w:val="1"/>
        <w:divId w:val="1255627665"/>
      </w:pPr>
      <w:bookmarkStart w:id="0" w:name="_Toc369878448"/>
      <w:r>
        <w:rPr>
          <w:rFonts w:hAnsi="Times New Roman" w:hint="eastAsia"/>
        </w:rPr>
        <w:lastRenderedPageBreak/>
        <w:t xml:space="preserve">一、 </w:t>
      </w:r>
      <w:r>
        <w:rPr>
          <w:rFonts w:hint="eastAsia"/>
        </w:rPr>
        <w:t xml:space="preserve"> 重要提示</w:t>
      </w:r>
      <w:bookmarkEnd w:id="0"/>
    </w:p>
    <w:p w:rsidR="006A7F38" w:rsidRDefault="006A7F38">
      <w:pPr>
        <w:divId w:val="1255627665"/>
        <w:rPr>
          <w:rFonts w:cs="宋体"/>
          <w:szCs w:val="21"/>
        </w:rPr>
      </w:pPr>
      <w:r>
        <w:rPr>
          <w:rFonts w:cs="宋体" w:hint="eastAsia"/>
          <w:szCs w:val="21"/>
        </w:rPr>
        <w:t>1.1  公司董事会、监事会及董事、监事、高级管理人员保证季度报告内容的真实、准确、完整，不存在虚假记载、误导性陈述或者重大遗漏，并承担个别和连带的法律责任。</w:t>
      </w:r>
    </w:p>
    <w:p w:rsidR="006A7F38" w:rsidRDefault="006A7F38">
      <w:pPr>
        <w:divId w:val="1255627665"/>
        <w:rPr>
          <w:rFonts w:cs="宋体"/>
          <w:szCs w:val="21"/>
        </w:rPr>
      </w:pPr>
    </w:p>
    <w:p w:rsidR="00584F7F" w:rsidRDefault="00584F7F" w:rsidP="00584F7F">
      <w:pPr>
        <w:divId w:val="1255627665"/>
        <w:rPr>
          <w:rFonts w:cs="宋体"/>
          <w:szCs w:val="21"/>
        </w:rPr>
      </w:pPr>
      <w:r>
        <w:rPr>
          <w:rFonts w:cs="宋体" w:hint="eastAsia"/>
          <w:szCs w:val="21"/>
        </w:rPr>
        <w:t>1.2  如有董事未出席董事会审议季度报告，应当单独列示该董事姓名及未出席原因。</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325"/>
        <w:gridCol w:w="2325"/>
        <w:gridCol w:w="2325"/>
        <w:gridCol w:w="2325"/>
      </w:tblGrid>
      <w:tr w:rsidR="00584F7F" w:rsidTr="00584F7F">
        <w:trPr>
          <w:divId w:val="1255627665"/>
        </w:trPr>
        <w:tc>
          <w:tcPr>
            <w:tcW w:w="1250" w:type="pct"/>
            <w:tcBorders>
              <w:top w:val="outset" w:sz="6" w:space="0" w:color="auto"/>
              <w:left w:val="outset" w:sz="6" w:space="0" w:color="auto"/>
              <w:bottom w:val="outset" w:sz="6" w:space="0" w:color="auto"/>
              <w:right w:val="outset" w:sz="6" w:space="0" w:color="auto"/>
            </w:tcBorders>
            <w:vAlign w:val="center"/>
            <w:hideMark/>
          </w:tcPr>
          <w:p w:rsidR="00584F7F" w:rsidRDefault="00584F7F" w:rsidP="00BD222C">
            <w:pPr>
              <w:jc w:val="center"/>
              <w:rPr>
                <w:rFonts w:cs="宋体"/>
                <w:szCs w:val="21"/>
              </w:rPr>
            </w:pPr>
            <w:r>
              <w:rPr>
                <w:rFonts w:cs="宋体" w:hint="eastAsia"/>
                <w:szCs w:val="21"/>
              </w:rPr>
              <w:t>未出席董事姓名</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4F7F" w:rsidRDefault="00584F7F" w:rsidP="00BD222C">
            <w:pPr>
              <w:jc w:val="center"/>
              <w:rPr>
                <w:rFonts w:cs="宋体"/>
                <w:szCs w:val="21"/>
              </w:rPr>
            </w:pPr>
            <w:r>
              <w:rPr>
                <w:rFonts w:cs="宋体" w:hint="eastAsia"/>
                <w:szCs w:val="21"/>
              </w:rPr>
              <w:t>未出席董事职务</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4F7F" w:rsidRDefault="00584F7F" w:rsidP="00BD222C">
            <w:pPr>
              <w:jc w:val="center"/>
              <w:rPr>
                <w:rFonts w:cs="宋体"/>
                <w:szCs w:val="21"/>
              </w:rPr>
            </w:pPr>
            <w:r>
              <w:rPr>
                <w:rFonts w:cs="宋体" w:hint="eastAsia"/>
                <w:szCs w:val="21"/>
              </w:rPr>
              <w:t>未出席原因的说明</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4F7F" w:rsidRDefault="00584F7F" w:rsidP="00BD222C">
            <w:pPr>
              <w:jc w:val="center"/>
              <w:rPr>
                <w:rFonts w:cs="宋体"/>
                <w:szCs w:val="21"/>
              </w:rPr>
            </w:pPr>
            <w:r>
              <w:rPr>
                <w:rFonts w:cs="宋体" w:hint="eastAsia"/>
                <w:szCs w:val="21"/>
              </w:rPr>
              <w:t>被委托人姓名</w:t>
            </w:r>
          </w:p>
        </w:tc>
      </w:tr>
      <w:tr w:rsidR="00584F7F" w:rsidTr="00584F7F">
        <w:trPr>
          <w:divId w:val="1255627665"/>
        </w:trPr>
        <w:tc>
          <w:tcPr>
            <w:tcW w:w="1250" w:type="pct"/>
            <w:tcBorders>
              <w:top w:val="outset" w:sz="6" w:space="0" w:color="auto"/>
              <w:left w:val="outset" w:sz="6" w:space="0" w:color="auto"/>
              <w:bottom w:val="outset" w:sz="6" w:space="0" w:color="auto"/>
              <w:right w:val="outset" w:sz="6" w:space="0" w:color="auto"/>
            </w:tcBorders>
            <w:vAlign w:val="center"/>
            <w:hideMark/>
          </w:tcPr>
          <w:p w:rsidR="00584F7F" w:rsidRDefault="00584F7F" w:rsidP="00D449DA">
            <w:pPr>
              <w:jc w:val="center"/>
              <w:rPr>
                <w:rFonts w:cs="宋体"/>
                <w:szCs w:val="21"/>
              </w:rPr>
            </w:pPr>
            <w:r>
              <w:rPr>
                <w:rFonts w:cs="宋体" w:hint="eastAsia"/>
                <w:szCs w:val="21"/>
              </w:rPr>
              <w:t>孙兆学</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4F7F" w:rsidRDefault="00584F7F" w:rsidP="00D449DA">
            <w:pPr>
              <w:jc w:val="center"/>
              <w:rPr>
                <w:rFonts w:cs="宋体"/>
                <w:szCs w:val="21"/>
              </w:rPr>
            </w:pPr>
            <w:r>
              <w:rPr>
                <w:rFonts w:cs="宋体" w:hint="eastAsia"/>
                <w:szCs w:val="21"/>
              </w:rPr>
              <w:t>董事长</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4F7F" w:rsidRDefault="00584F7F" w:rsidP="00D449DA">
            <w:pPr>
              <w:jc w:val="center"/>
              <w:rPr>
                <w:rFonts w:cs="宋体"/>
                <w:szCs w:val="21"/>
              </w:rPr>
            </w:pPr>
            <w:r>
              <w:rPr>
                <w:rFonts w:cs="宋体" w:hint="eastAsia"/>
                <w:szCs w:val="21"/>
              </w:rPr>
              <w:t>工作原因</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4F7F" w:rsidRDefault="00584F7F" w:rsidP="00D449DA">
            <w:pPr>
              <w:jc w:val="center"/>
              <w:rPr>
                <w:rFonts w:cs="宋体"/>
                <w:szCs w:val="21"/>
              </w:rPr>
            </w:pPr>
          </w:p>
        </w:tc>
      </w:tr>
    </w:tbl>
    <w:p w:rsidR="006A7F38" w:rsidRDefault="006A7F38" w:rsidP="00D449DA">
      <w:pPr>
        <w:jc w:val="center"/>
        <w:divId w:val="1255627665"/>
        <w:rPr>
          <w:rFonts w:cs="宋体"/>
          <w:szCs w:val="21"/>
        </w:rPr>
      </w:pPr>
    </w:p>
    <w:p w:rsidR="006A7F38" w:rsidRDefault="006A7F38">
      <w:pPr>
        <w:divId w:val="1255627665"/>
        <w:rPr>
          <w:rFonts w:cs="宋体"/>
          <w:szCs w:val="21"/>
        </w:rPr>
      </w:pPr>
      <w:r>
        <w:rPr>
          <w:rFonts w:cs="宋体" w:hint="eastAsia"/>
          <w:szCs w:val="21"/>
        </w:rPr>
        <w:t xml:space="preserve">1.3  </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03"/>
        <w:gridCol w:w="4697"/>
      </w:tblGrid>
      <w:tr w:rsidR="006A7F38">
        <w:trPr>
          <w:divId w:val="1255627665"/>
        </w:trPr>
        <w:tc>
          <w:tcPr>
            <w:tcW w:w="24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公司负责人姓名</w:t>
            </w:r>
          </w:p>
        </w:tc>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孙兆学</w:t>
            </w:r>
          </w:p>
        </w:tc>
      </w:tr>
      <w:tr w:rsidR="006A7F38">
        <w:trPr>
          <w:divId w:val="1255627665"/>
        </w:trPr>
        <w:tc>
          <w:tcPr>
            <w:tcW w:w="24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主管会计工作负责人姓名</w:t>
            </w:r>
          </w:p>
        </w:tc>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魏浩水</w:t>
            </w:r>
          </w:p>
        </w:tc>
      </w:tr>
      <w:tr w:rsidR="006A7F38">
        <w:trPr>
          <w:divId w:val="1255627665"/>
        </w:trPr>
        <w:tc>
          <w:tcPr>
            <w:tcW w:w="24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会计机构负责人（会计主管人员）姓名</w:t>
            </w:r>
          </w:p>
        </w:tc>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魏浩水</w:t>
            </w:r>
          </w:p>
        </w:tc>
      </w:tr>
    </w:tbl>
    <w:p w:rsidR="006A7F38" w:rsidRDefault="006A7F38">
      <w:pPr>
        <w:divId w:val="1255627665"/>
        <w:rPr>
          <w:rFonts w:hAnsi="Times New Roman"/>
          <w:szCs w:val="18"/>
        </w:rPr>
      </w:pPr>
      <w:r>
        <w:rPr>
          <w:rFonts w:hint="eastAsia"/>
        </w:rPr>
        <w:t>公司负责人孙兆学、主管会计工作负责人魏浩水及会计机构负责人（会计主管人员）魏浩水保证季度报告中财务报表的真实、准确、完整。</w:t>
      </w:r>
    </w:p>
    <w:p w:rsidR="006A7F38" w:rsidRDefault="006A7F38">
      <w:pPr>
        <w:divId w:val="1255627665"/>
        <w:rPr>
          <w:rFonts w:cs="宋体"/>
          <w:szCs w:val="21"/>
        </w:rPr>
      </w:pPr>
    </w:p>
    <w:p w:rsidR="006A7F38" w:rsidRDefault="006A7F38">
      <w:pPr>
        <w:divId w:val="1255627665"/>
        <w:rPr>
          <w:rFonts w:cs="宋体"/>
          <w:szCs w:val="21"/>
        </w:rPr>
      </w:pPr>
      <w:r>
        <w:rPr>
          <w:rFonts w:cs="宋体" w:hint="eastAsia"/>
          <w:szCs w:val="21"/>
        </w:rPr>
        <w:t>1.4  公司第三季度报告中的财务报表未经审计。</w:t>
      </w:r>
    </w:p>
    <w:p w:rsidR="006A7F38" w:rsidRDefault="006A7F38">
      <w:pPr>
        <w:divId w:val="1255627665"/>
        <w:rPr>
          <w:rFonts w:cs="宋体"/>
          <w:szCs w:val="21"/>
        </w:rPr>
        <w:sectPr w:rsidR="006A7F38" w:rsidSect="00BD222C">
          <w:pgSz w:w="11907" w:h="16840" w:code="9"/>
          <w:pgMar w:top="1440" w:right="1304" w:bottom="1134" w:left="1361" w:header="850" w:footer="992" w:gutter="0"/>
          <w:cols w:space="425"/>
          <w:docGrid w:linePitch="312"/>
        </w:sectPr>
      </w:pPr>
    </w:p>
    <w:p w:rsidR="006A7F38" w:rsidRDefault="006A7F38">
      <w:pPr>
        <w:pStyle w:val="1"/>
        <w:divId w:val="1255627665"/>
        <w:rPr>
          <w:rFonts w:cs="宋体"/>
          <w:szCs w:val="48"/>
        </w:rPr>
      </w:pPr>
      <w:bookmarkStart w:id="1" w:name="_Toc369878449"/>
      <w:r>
        <w:rPr>
          <w:rFonts w:hAnsi="Times New Roman" w:hint="eastAsia"/>
        </w:rPr>
        <w:lastRenderedPageBreak/>
        <w:t xml:space="preserve">二、 </w:t>
      </w:r>
      <w:r>
        <w:rPr>
          <w:rFonts w:hint="eastAsia"/>
        </w:rPr>
        <w:t xml:space="preserve"> 公司主要财务数据和股东变化</w:t>
      </w:r>
      <w:bookmarkEnd w:id="1"/>
    </w:p>
    <w:p w:rsidR="006A7F38" w:rsidRDefault="006A7F38">
      <w:pPr>
        <w:divId w:val="1255627665"/>
        <w:rPr>
          <w:rFonts w:cs="宋体"/>
          <w:szCs w:val="21"/>
        </w:rPr>
      </w:pPr>
      <w:r>
        <w:rPr>
          <w:rFonts w:cs="宋体" w:hint="eastAsia"/>
          <w:szCs w:val="21"/>
        </w:rPr>
        <w:t>2.1  主要财务数据</w:t>
      </w:r>
    </w:p>
    <w:p w:rsidR="006A7F38" w:rsidRDefault="006A7F38">
      <w:pPr>
        <w:jc w:val="right"/>
        <w:divId w:val="1255627665"/>
        <w:rPr>
          <w:rFonts w:hAnsi="Times New Roman"/>
          <w:szCs w:val="18"/>
        </w:rPr>
      </w:pPr>
      <w:r>
        <w:rPr>
          <w:rFonts w:hint="eastAsia"/>
        </w:rPr>
        <w:t>单位:元 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976"/>
        <w:gridCol w:w="2325"/>
        <w:gridCol w:w="2325"/>
        <w:gridCol w:w="1674"/>
      </w:tblGrid>
      <w:tr w:rsidR="006A7F38" w:rsidTr="00E9745A">
        <w:trPr>
          <w:divId w:val="1255627665"/>
        </w:trPr>
        <w:tc>
          <w:tcPr>
            <w:tcW w:w="16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szCs w:val="21"/>
              </w:rPr>
              <w:t>本报告期末</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szCs w:val="21"/>
              </w:rPr>
              <w:t>上年度末</w:t>
            </w:r>
          </w:p>
        </w:tc>
        <w:tc>
          <w:tcPr>
            <w:tcW w:w="9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szCs w:val="21"/>
              </w:rPr>
              <w:t>本报告期末比上年度末增减(%)</w:t>
            </w:r>
          </w:p>
        </w:tc>
      </w:tr>
      <w:tr w:rsidR="006A7F38" w:rsidTr="00E9745A">
        <w:trPr>
          <w:divId w:val="1255627665"/>
        </w:trPr>
        <w:tc>
          <w:tcPr>
            <w:tcW w:w="16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总资产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23,648,979,235.15</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21,495,236,710.66</w:t>
            </w:r>
          </w:p>
        </w:tc>
        <w:tc>
          <w:tcPr>
            <w:tcW w:w="9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10.02</w:t>
            </w:r>
          </w:p>
        </w:tc>
      </w:tr>
      <w:tr w:rsidR="006A7F38" w:rsidTr="00E9745A">
        <w:trPr>
          <w:divId w:val="1255627665"/>
        </w:trPr>
        <w:tc>
          <w:tcPr>
            <w:tcW w:w="16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归属于上市公司股东的净资产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10,269,907,677.38</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10,051,333,093.92</w:t>
            </w:r>
          </w:p>
        </w:tc>
        <w:tc>
          <w:tcPr>
            <w:tcW w:w="9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2.17</w:t>
            </w:r>
          </w:p>
        </w:tc>
      </w:tr>
      <w:tr w:rsidR="006A7F38" w:rsidTr="00E9745A">
        <w:trPr>
          <w:divId w:val="1255627665"/>
        </w:trPr>
        <w:tc>
          <w:tcPr>
            <w:tcW w:w="16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szCs w:val="21"/>
              </w:rPr>
              <w:t>年初至报告期末</w:t>
            </w:r>
            <w:r>
              <w:rPr>
                <w:rFonts w:cs="宋体" w:hint="eastAsia"/>
                <w:szCs w:val="21"/>
              </w:rPr>
              <w:br/>
              <w:t>（1－9月）</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szCs w:val="21"/>
              </w:rPr>
              <w:t>上年初至上年报告期末</w:t>
            </w:r>
            <w:r>
              <w:rPr>
                <w:rFonts w:cs="宋体" w:hint="eastAsia"/>
                <w:szCs w:val="21"/>
              </w:rPr>
              <w:br/>
              <w:t>（1－9月）</w:t>
            </w:r>
          </w:p>
        </w:tc>
        <w:tc>
          <w:tcPr>
            <w:tcW w:w="9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szCs w:val="21"/>
              </w:rPr>
              <w:t>比上年同期增减(%)</w:t>
            </w:r>
          </w:p>
        </w:tc>
      </w:tr>
      <w:tr w:rsidR="006A7F38" w:rsidTr="00E9745A">
        <w:trPr>
          <w:divId w:val="1255627665"/>
        </w:trPr>
        <w:tc>
          <w:tcPr>
            <w:tcW w:w="16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经营活动产生的现金流量净额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317,950,997.03</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1,172,636,058.78</w:t>
            </w:r>
          </w:p>
        </w:tc>
        <w:tc>
          <w:tcPr>
            <w:tcW w:w="9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-72.89</w:t>
            </w:r>
          </w:p>
        </w:tc>
      </w:tr>
      <w:tr w:rsidR="006A7F38" w:rsidTr="00E9745A">
        <w:trPr>
          <w:divId w:val="1255627665"/>
        </w:trPr>
        <w:tc>
          <w:tcPr>
            <w:tcW w:w="16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szCs w:val="21"/>
              </w:rPr>
              <w:t>年初至报告期末</w:t>
            </w:r>
            <w:r>
              <w:rPr>
                <w:rFonts w:cs="宋体" w:hint="eastAsia"/>
                <w:szCs w:val="21"/>
              </w:rPr>
              <w:br/>
              <w:t>（1－9月）</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szCs w:val="21"/>
              </w:rPr>
              <w:t>上年初至上年报告期末</w:t>
            </w:r>
            <w:r>
              <w:rPr>
                <w:rFonts w:cs="宋体" w:hint="eastAsia"/>
                <w:szCs w:val="21"/>
              </w:rPr>
              <w:br/>
              <w:t>（1－9月）</w:t>
            </w:r>
          </w:p>
        </w:tc>
        <w:tc>
          <w:tcPr>
            <w:tcW w:w="9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szCs w:val="21"/>
              </w:rPr>
              <w:t>比上年同期增减(%)</w:t>
            </w:r>
          </w:p>
        </w:tc>
      </w:tr>
      <w:tr w:rsidR="006A7F38" w:rsidTr="00E9745A">
        <w:trPr>
          <w:divId w:val="1255627665"/>
        </w:trPr>
        <w:tc>
          <w:tcPr>
            <w:tcW w:w="16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营业收入</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22,869,735,141.05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27,036,948,363.41</w:t>
            </w:r>
          </w:p>
        </w:tc>
        <w:tc>
          <w:tcPr>
            <w:tcW w:w="9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-15.41</w:t>
            </w:r>
          </w:p>
        </w:tc>
      </w:tr>
      <w:tr w:rsidR="006A7F38" w:rsidTr="00E9745A">
        <w:trPr>
          <w:divId w:val="1255627665"/>
        </w:trPr>
        <w:tc>
          <w:tcPr>
            <w:tcW w:w="16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归属于上市公司股东的净利润</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688,443,531.35</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1,177,729,863.86</w:t>
            </w:r>
          </w:p>
        </w:tc>
        <w:tc>
          <w:tcPr>
            <w:tcW w:w="9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-41.54</w:t>
            </w:r>
          </w:p>
        </w:tc>
      </w:tr>
      <w:tr w:rsidR="006A7F38" w:rsidTr="00E9745A">
        <w:trPr>
          <w:divId w:val="1255627665"/>
        </w:trPr>
        <w:tc>
          <w:tcPr>
            <w:tcW w:w="16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归属于上市公司股东的扣除非经常性损益的净利润</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677,598,116.47</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1,182,350,881.34</w:t>
            </w:r>
          </w:p>
        </w:tc>
        <w:tc>
          <w:tcPr>
            <w:tcW w:w="9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-42.69</w:t>
            </w:r>
          </w:p>
        </w:tc>
      </w:tr>
      <w:tr w:rsidR="006A7F38" w:rsidTr="00E9745A">
        <w:trPr>
          <w:divId w:val="1255627665"/>
        </w:trPr>
        <w:tc>
          <w:tcPr>
            <w:tcW w:w="16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加权平均净资产收益率（％）</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 xml:space="preserve">6.62 </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 xml:space="preserve">12.78 </w:t>
            </w:r>
          </w:p>
        </w:tc>
        <w:tc>
          <w:tcPr>
            <w:tcW w:w="9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减少6.16个百分点</w:t>
            </w:r>
          </w:p>
        </w:tc>
      </w:tr>
      <w:tr w:rsidR="006A7F38" w:rsidTr="00E9745A">
        <w:trPr>
          <w:divId w:val="1255627665"/>
        </w:trPr>
        <w:tc>
          <w:tcPr>
            <w:tcW w:w="16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基本每股收益（元/股）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0.23</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0.40</w:t>
            </w:r>
          </w:p>
        </w:tc>
        <w:tc>
          <w:tcPr>
            <w:tcW w:w="9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-42.50</w:t>
            </w:r>
          </w:p>
        </w:tc>
      </w:tr>
      <w:tr w:rsidR="006A7F38" w:rsidTr="00E9745A">
        <w:trPr>
          <w:divId w:val="1255627665"/>
        </w:trPr>
        <w:tc>
          <w:tcPr>
            <w:tcW w:w="16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稀释每股收益（元/股）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0.23</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0.40</w:t>
            </w:r>
          </w:p>
        </w:tc>
        <w:tc>
          <w:tcPr>
            <w:tcW w:w="9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-42.50</w:t>
            </w:r>
          </w:p>
        </w:tc>
      </w:tr>
    </w:tbl>
    <w:p w:rsidR="00584F7F" w:rsidRDefault="00584F7F">
      <w:pPr>
        <w:divId w:val="1255627665"/>
      </w:pPr>
    </w:p>
    <w:p w:rsidR="006A7F38" w:rsidRDefault="006A7F38">
      <w:pPr>
        <w:divId w:val="1255627665"/>
        <w:rPr>
          <w:rFonts w:hAnsi="Times New Roman"/>
          <w:szCs w:val="18"/>
        </w:rPr>
      </w:pPr>
      <w:r>
        <w:rPr>
          <w:rFonts w:hint="eastAsia"/>
        </w:rPr>
        <w:t>扣除非经常性损益项目和金额：</w:t>
      </w:r>
    </w:p>
    <w:p w:rsidR="006A7F38" w:rsidRDefault="006A7F38">
      <w:pPr>
        <w:jc w:val="right"/>
        <w:divId w:val="1255627665"/>
      </w:pPr>
      <w:r>
        <w:rPr>
          <w:rFonts w:hint="eastAsia"/>
        </w:rPr>
        <w:t>单位：元 币种:人民币</w:t>
      </w:r>
    </w:p>
    <w:tbl>
      <w:tblPr>
        <w:tblW w:w="8797" w:type="dxa"/>
        <w:tblInd w:w="100" w:type="dxa"/>
        <w:tblBorders>
          <w:top w:val="single" w:sz="4" w:space="0" w:color="auto"/>
          <w:left w:val="single" w:sz="4" w:space="0" w:color="auto"/>
          <w:bottom w:val="single" w:sz="4" w:space="0" w:color="auto"/>
          <w:right w:val="single" w:sz="4" w:space="0" w:color="auto"/>
        </w:tblBorders>
        <w:tblLook w:val="04A0"/>
      </w:tblPr>
      <w:tblGrid>
        <w:gridCol w:w="3267"/>
        <w:gridCol w:w="2694"/>
        <w:gridCol w:w="2836"/>
      </w:tblGrid>
      <w:tr w:rsidR="00584F7F" w:rsidTr="00584F7F">
        <w:trPr>
          <w:divId w:val="1255627665"/>
        </w:trPr>
        <w:tc>
          <w:tcPr>
            <w:tcW w:w="1857" w:type="pct"/>
            <w:tcBorders>
              <w:top w:val="outset" w:sz="6" w:space="0" w:color="auto"/>
              <w:left w:val="outset" w:sz="6" w:space="0" w:color="auto"/>
              <w:bottom w:val="outset" w:sz="6" w:space="0" w:color="auto"/>
              <w:right w:val="outset" w:sz="6" w:space="0" w:color="auto"/>
            </w:tcBorders>
            <w:vAlign w:val="center"/>
            <w:hideMark/>
          </w:tcPr>
          <w:p w:rsidR="00584F7F" w:rsidRDefault="00584F7F">
            <w:pPr>
              <w:jc w:val="center"/>
              <w:rPr>
                <w:rFonts w:cs="宋体"/>
                <w:szCs w:val="21"/>
              </w:rPr>
            </w:pPr>
            <w:r>
              <w:rPr>
                <w:rFonts w:cs="宋体" w:hint="eastAsia"/>
                <w:szCs w:val="21"/>
              </w:rPr>
              <w:t>项目</w:t>
            </w:r>
          </w:p>
        </w:tc>
        <w:tc>
          <w:tcPr>
            <w:tcW w:w="1531" w:type="pct"/>
            <w:tcBorders>
              <w:top w:val="outset" w:sz="6" w:space="0" w:color="auto"/>
              <w:left w:val="outset" w:sz="6" w:space="0" w:color="auto"/>
              <w:bottom w:val="outset" w:sz="6" w:space="0" w:color="auto"/>
              <w:right w:val="outset" w:sz="6" w:space="0" w:color="auto"/>
            </w:tcBorders>
            <w:vAlign w:val="center"/>
            <w:hideMark/>
          </w:tcPr>
          <w:p w:rsidR="00584F7F" w:rsidRDefault="00584F7F">
            <w:pPr>
              <w:jc w:val="center"/>
              <w:rPr>
                <w:rFonts w:cs="宋体"/>
                <w:szCs w:val="21"/>
              </w:rPr>
            </w:pPr>
            <w:r>
              <w:rPr>
                <w:rFonts w:cs="宋体" w:hint="eastAsia"/>
                <w:szCs w:val="21"/>
              </w:rPr>
              <w:t>本期金额</w:t>
            </w:r>
          </w:p>
          <w:p w:rsidR="00584F7F" w:rsidRDefault="00584F7F">
            <w:pPr>
              <w:pStyle w:val="23"/>
              <w:jc w:val="center"/>
              <w:rPr>
                <w:rFonts w:hint="default"/>
                <w:sz w:val="21"/>
                <w:szCs w:val="21"/>
              </w:rPr>
            </w:pPr>
            <w:r>
              <w:rPr>
                <w:sz w:val="21"/>
                <w:szCs w:val="21"/>
              </w:rPr>
              <w:t>（7－9月）</w:t>
            </w:r>
          </w:p>
        </w:tc>
        <w:tc>
          <w:tcPr>
            <w:tcW w:w="1612" w:type="pct"/>
            <w:tcBorders>
              <w:top w:val="outset" w:sz="6" w:space="0" w:color="auto"/>
              <w:left w:val="outset" w:sz="6" w:space="0" w:color="auto"/>
              <w:bottom w:val="outset" w:sz="6" w:space="0" w:color="auto"/>
              <w:right w:val="outset" w:sz="6" w:space="0" w:color="auto"/>
            </w:tcBorders>
            <w:vAlign w:val="center"/>
            <w:hideMark/>
          </w:tcPr>
          <w:p w:rsidR="00584F7F" w:rsidRDefault="00584F7F">
            <w:pPr>
              <w:jc w:val="center"/>
              <w:rPr>
                <w:rFonts w:cs="宋体"/>
                <w:szCs w:val="21"/>
              </w:rPr>
            </w:pPr>
            <w:r>
              <w:rPr>
                <w:rFonts w:cs="宋体" w:hint="eastAsia"/>
                <w:szCs w:val="21"/>
              </w:rPr>
              <w:t>年初至报告期末金额</w:t>
            </w:r>
          </w:p>
          <w:p w:rsidR="00584F7F" w:rsidRDefault="00584F7F">
            <w:pPr>
              <w:pStyle w:val="23"/>
              <w:jc w:val="center"/>
              <w:rPr>
                <w:rFonts w:hint="default"/>
                <w:sz w:val="21"/>
                <w:szCs w:val="21"/>
              </w:rPr>
            </w:pPr>
            <w:r>
              <w:rPr>
                <w:sz w:val="21"/>
                <w:szCs w:val="21"/>
              </w:rPr>
              <w:t>（1－9月）</w:t>
            </w:r>
          </w:p>
        </w:tc>
      </w:tr>
      <w:tr w:rsidR="00584F7F" w:rsidTr="00584F7F">
        <w:trPr>
          <w:divId w:val="1255627665"/>
        </w:trPr>
        <w:tc>
          <w:tcPr>
            <w:tcW w:w="1857" w:type="pct"/>
            <w:tcBorders>
              <w:top w:val="outset" w:sz="6" w:space="0" w:color="auto"/>
              <w:left w:val="outset" w:sz="6" w:space="0" w:color="auto"/>
              <w:bottom w:val="outset" w:sz="6" w:space="0" w:color="auto"/>
              <w:right w:val="outset" w:sz="6" w:space="0" w:color="auto"/>
            </w:tcBorders>
            <w:vAlign w:val="center"/>
            <w:hideMark/>
          </w:tcPr>
          <w:p w:rsidR="00584F7F" w:rsidRDefault="00584F7F">
            <w:pPr>
              <w:rPr>
                <w:rFonts w:cs="宋体"/>
                <w:szCs w:val="21"/>
              </w:rPr>
            </w:pPr>
            <w:r>
              <w:rPr>
                <w:rFonts w:cs="宋体" w:hint="eastAsia"/>
                <w:szCs w:val="21"/>
              </w:rPr>
              <w:t>非流动资产处置损益</w:t>
            </w:r>
          </w:p>
        </w:tc>
        <w:tc>
          <w:tcPr>
            <w:tcW w:w="1531" w:type="pct"/>
            <w:tcBorders>
              <w:top w:val="outset" w:sz="6" w:space="0" w:color="auto"/>
              <w:left w:val="outset" w:sz="6" w:space="0" w:color="auto"/>
              <w:bottom w:val="outset" w:sz="6" w:space="0" w:color="auto"/>
              <w:right w:val="outset" w:sz="6" w:space="0" w:color="auto"/>
            </w:tcBorders>
            <w:vAlign w:val="center"/>
            <w:hideMark/>
          </w:tcPr>
          <w:p w:rsidR="00584F7F" w:rsidRDefault="00584F7F">
            <w:pPr>
              <w:jc w:val="right"/>
              <w:rPr>
                <w:rFonts w:cs="宋体"/>
                <w:szCs w:val="21"/>
              </w:rPr>
            </w:pPr>
            <w:r>
              <w:rPr>
                <w:rFonts w:cs="宋体" w:hint="eastAsia"/>
                <w:szCs w:val="21"/>
              </w:rPr>
              <w:t>-559,717.39</w:t>
            </w:r>
          </w:p>
        </w:tc>
        <w:tc>
          <w:tcPr>
            <w:tcW w:w="1612" w:type="pct"/>
            <w:tcBorders>
              <w:top w:val="outset" w:sz="6" w:space="0" w:color="auto"/>
              <w:left w:val="outset" w:sz="6" w:space="0" w:color="auto"/>
              <w:bottom w:val="outset" w:sz="6" w:space="0" w:color="auto"/>
              <w:right w:val="outset" w:sz="6" w:space="0" w:color="auto"/>
            </w:tcBorders>
            <w:vAlign w:val="center"/>
            <w:hideMark/>
          </w:tcPr>
          <w:p w:rsidR="00584F7F" w:rsidRDefault="00584F7F">
            <w:pPr>
              <w:jc w:val="right"/>
              <w:rPr>
                <w:rFonts w:cs="宋体"/>
                <w:szCs w:val="21"/>
              </w:rPr>
            </w:pPr>
            <w:r>
              <w:rPr>
                <w:rFonts w:cs="宋体" w:hint="eastAsia"/>
                <w:szCs w:val="21"/>
              </w:rPr>
              <w:t>1,291,618.41</w:t>
            </w:r>
          </w:p>
        </w:tc>
      </w:tr>
      <w:tr w:rsidR="00584F7F" w:rsidTr="00584F7F">
        <w:trPr>
          <w:divId w:val="1255627665"/>
        </w:trPr>
        <w:tc>
          <w:tcPr>
            <w:tcW w:w="1857" w:type="pct"/>
            <w:tcBorders>
              <w:top w:val="outset" w:sz="6" w:space="0" w:color="auto"/>
              <w:left w:val="outset" w:sz="6" w:space="0" w:color="auto"/>
              <w:bottom w:val="outset" w:sz="6" w:space="0" w:color="auto"/>
              <w:right w:val="outset" w:sz="6" w:space="0" w:color="auto"/>
            </w:tcBorders>
            <w:vAlign w:val="center"/>
            <w:hideMark/>
          </w:tcPr>
          <w:p w:rsidR="00584F7F" w:rsidRDefault="00584F7F">
            <w:pPr>
              <w:rPr>
                <w:rFonts w:cs="宋体"/>
                <w:szCs w:val="21"/>
              </w:rPr>
            </w:pPr>
            <w:r>
              <w:rPr>
                <w:rFonts w:cs="宋体" w:hint="eastAsia"/>
                <w:szCs w:val="21"/>
              </w:rPr>
              <w:t>计入当期损益的政府补助，但与公司正常经营业务密切相关，符合国家政策规定、按照一定标准定额或定量持续享受的政府补助除外</w:t>
            </w:r>
          </w:p>
        </w:tc>
        <w:tc>
          <w:tcPr>
            <w:tcW w:w="1531" w:type="pct"/>
            <w:tcBorders>
              <w:top w:val="outset" w:sz="6" w:space="0" w:color="auto"/>
              <w:left w:val="outset" w:sz="6" w:space="0" w:color="auto"/>
              <w:bottom w:val="outset" w:sz="6" w:space="0" w:color="auto"/>
              <w:right w:val="outset" w:sz="6" w:space="0" w:color="auto"/>
            </w:tcBorders>
            <w:vAlign w:val="center"/>
            <w:hideMark/>
          </w:tcPr>
          <w:p w:rsidR="00584F7F" w:rsidRDefault="00584F7F">
            <w:pPr>
              <w:jc w:val="right"/>
              <w:rPr>
                <w:rFonts w:cs="宋体"/>
                <w:szCs w:val="21"/>
              </w:rPr>
            </w:pPr>
            <w:r>
              <w:rPr>
                <w:rFonts w:cs="宋体" w:hint="eastAsia"/>
                <w:szCs w:val="21"/>
              </w:rPr>
              <w:t>5,166,694.31</w:t>
            </w:r>
          </w:p>
        </w:tc>
        <w:tc>
          <w:tcPr>
            <w:tcW w:w="1612" w:type="pct"/>
            <w:tcBorders>
              <w:top w:val="outset" w:sz="6" w:space="0" w:color="auto"/>
              <w:left w:val="outset" w:sz="6" w:space="0" w:color="auto"/>
              <w:bottom w:val="outset" w:sz="6" w:space="0" w:color="auto"/>
              <w:right w:val="outset" w:sz="6" w:space="0" w:color="auto"/>
            </w:tcBorders>
            <w:vAlign w:val="center"/>
            <w:hideMark/>
          </w:tcPr>
          <w:p w:rsidR="00584F7F" w:rsidRDefault="00584F7F">
            <w:pPr>
              <w:jc w:val="right"/>
              <w:rPr>
                <w:rFonts w:cs="宋体"/>
                <w:szCs w:val="21"/>
              </w:rPr>
            </w:pPr>
            <w:r>
              <w:rPr>
                <w:rFonts w:cs="宋体" w:hint="eastAsia"/>
                <w:szCs w:val="21"/>
              </w:rPr>
              <w:t>30,125,249.37</w:t>
            </w:r>
          </w:p>
        </w:tc>
      </w:tr>
      <w:tr w:rsidR="00584F7F" w:rsidTr="00584F7F">
        <w:trPr>
          <w:divId w:val="1255627665"/>
        </w:trPr>
        <w:tc>
          <w:tcPr>
            <w:tcW w:w="1857" w:type="pct"/>
            <w:tcBorders>
              <w:top w:val="outset" w:sz="6" w:space="0" w:color="auto"/>
              <w:left w:val="outset" w:sz="6" w:space="0" w:color="auto"/>
              <w:bottom w:val="outset" w:sz="6" w:space="0" w:color="auto"/>
              <w:right w:val="outset" w:sz="6" w:space="0" w:color="auto"/>
            </w:tcBorders>
            <w:vAlign w:val="center"/>
            <w:hideMark/>
          </w:tcPr>
          <w:p w:rsidR="00584F7F" w:rsidRDefault="00584F7F">
            <w:pPr>
              <w:rPr>
                <w:rFonts w:cs="宋体"/>
                <w:szCs w:val="21"/>
              </w:rPr>
            </w:pPr>
            <w:r>
              <w:rPr>
                <w:rFonts w:cs="宋体" w:hint="eastAsia"/>
                <w:szCs w:val="21"/>
              </w:rPr>
              <w:t>债务重组损益</w:t>
            </w:r>
          </w:p>
        </w:tc>
        <w:tc>
          <w:tcPr>
            <w:tcW w:w="1531" w:type="pct"/>
            <w:tcBorders>
              <w:top w:val="outset" w:sz="6" w:space="0" w:color="auto"/>
              <w:left w:val="outset" w:sz="6" w:space="0" w:color="auto"/>
              <w:bottom w:val="outset" w:sz="6" w:space="0" w:color="auto"/>
              <w:right w:val="outset" w:sz="6" w:space="0" w:color="auto"/>
            </w:tcBorders>
            <w:vAlign w:val="center"/>
            <w:hideMark/>
          </w:tcPr>
          <w:p w:rsidR="00584F7F" w:rsidRDefault="00584F7F">
            <w:pPr>
              <w:jc w:val="right"/>
              <w:rPr>
                <w:rFonts w:cs="宋体"/>
                <w:szCs w:val="21"/>
              </w:rPr>
            </w:pPr>
          </w:p>
        </w:tc>
        <w:tc>
          <w:tcPr>
            <w:tcW w:w="1612" w:type="pct"/>
            <w:tcBorders>
              <w:top w:val="outset" w:sz="6" w:space="0" w:color="auto"/>
              <w:left w:val="outset" w:sz="6" w:space="0" w:color="auto"/>
              <w:bottom w:val="outset" w:sz="6" w:space="0" w:color="auto"/>
              <w:right w:val="outset" w:sz="6" w:space="0" w:color="auto"/>
            </w:tcBorders>
            <w:vAlign w:val="center"/>
            <w:hideMark/>
          </w:tcPr>
          <w:p w:rsidR="00584F7F" w:rsidRDefault="00584F7F">
            <w:pPr>
              <w:jc w:val="right"/>
              <w:rPr>
                <w:rFonts w:cs="宋体"/>
                <w:szCs w:val="21"/>
              </w:rPr>
            </w:pPr>
            <w:r>
              <w:rPr>
                <w:rFonts w:cs="宋体" w:hint="eastAsia"/>
                <w:szCs w:val="21"/>
              </w:rPr>
              <w:t>11,820.78</w:t>
            </w:r>
          </w:p>
        </w:tc>
      </w:tr>
      <w:tr w:rsidR="00584F7F" w:rsidTr="00584F7F">
        <w:trPr>
          <w:divId w:val="1255627665"/>
        </w:trPr>
        <w:tc>
          <w:tcPr>
            <w:tcW w:w="1857" w:type="pct"/>
            <w:tcBorders>
              <w:top w:val="outset" w:sz="6" w:space="0" w:color="auto"/>
              <w:left w:val="outset" w:sz="6" w:space="0" w:color="auto"/>
              <w:bottom w:val="outset" w:sz="6" w:space="0" w:color="auto"/>
              <w:right w:val="outset" w:sz="6" w:space="0" w:color="auto"/>
            </w:tcBorders>
            <w:vAlign w:val="center"/>
            <w:hideMark/>
          </w:tcPr>
          <w:p w:rsidR="00584F7F" w:rsidRDefault="00584F7F">
            <w:pPr>
              <w:rPr>
                <w:rFonts w:cs="宋体"/>
                <w:szCs w:val="21"/>
              </w:rPr>
            </w:pPr>
            <w:r>
              <w:rPr>
                <w:rFonts w:cs="宋体" w:hint="eastAsia"/>
                <w:szCs w:val="21"/>
              </w:rPr>
              <w:t>除上述各项之外的其他营业外收入和支出</w:t>
            </w:r>
          </w:p>
        </w:tc>
        <w:tc>
          <w:tcPr>
            <w:tcW w:w="1531" w:type="pct"/>
            <w:tcBorders>
              <w:top w:val="outset" w:sz="6" w:space="0" w:color="auto"/>
              <w:left w:val="outset" w:sz="6" w:space="0" w:color="auto"/>
              <w:bottom w:val="outset" w:sz="6" w:space="0" w:color="auto"/>
              <w:right w:val="outset" w:sz="6" w:space="0" w:color="auto"/>
            </w:tcBorders>
            <w:vAlign w:val="center"/>
            <w:hideMark/>
          </w:tcPr>
          <w:p w:rsidR="00584F7F" w:rsidRDefault="00584F7F">
            <w:pPr>
              <w:jc w:val="right"/>
              <w:rPr>
                <w:rFonts w:cs="宋体"/>
                <w:szCs w:val="21"/>
              </w:rPr>
            </w:pPr>
            <w:r>
              <w:rPr>
                <w:rFonts w:cs="宋体" w:hint="eastAsia"/>
                <w:szCs w:val="21"/>
              </w:rPr>
              <w:t>3,888,133.88</w:t>
            </w:r>
          </w:p>
        </w:tc>
        <w:tc>
          <w:tcPr>
            <w:tcW w:w="1612" w:type="pct"/>
            <w:tcBorders>
              <w:top w:val="outset" w:sz="6" w:space="0" w:color="auto"/>
              <w:left w:val="outset" w:sz="6" w:space="0" w:color="auto"/>
              <w:bottom w:val="outset" w:sz="6" w:space="0" w:color="auto"/>
              <w:right w:val="outset" w:sz="6" w:space="0" w:color="auto"/>
            </w:tcBorders>
            <w:vAlign w:val="center"/>
            <w:hideMark/>
          </w:tcPr>
          <w:p w:rsidR="00584F7F" w:rsidRDefault="00584F7F">
            <w:pPr>
              <w:jc w:val="right"/>
              <w:rPr>
                <w:rFonts w:cs="宋体"/>
                <w:szCs w:val="21"/>
              </w:rPr>
            </w:pPr>
            <w:r>
              <w:rPr>
                <w:rFonts w:cs="宋体" w:hint="eastAsia"/>
                <w:szCs w:val="21"/>
              </w:rPr>
              <w:t>-2,848,467.16</w:t>
            </w:r>
          </w:p>
        </w:tc>
      </w:tr>
      <w:tr w:rsidR="00584F7F" w:rsidTr="00584F7F">
        <w:trPr>
          <w:divId w:val="1255627665"/>
        </w:trPr>
        <w:tc>
          <w:tcPr>
            <w:tcW w:w="1857" w:type="pct"/>
            <w:tcBorders>
              <w:top w:val="outset" w:sz="6" w:space="0" w:color="auto"/>
              <w:left w:val="outset" w:sz="6" w:space="0" w:color="auto"/>
              <w:bottom w:val="outset" w:sz="6" w:space="0" w:color="auto"/>
              <w:right w:val="outset" w:sz="6" w:space="0" w:color="auto"/>
            </w:tcBorders>
            <w:vAlign w:val="center"/>
            <w:hideMark/>
          </w:tcPr>
          <w:p w:rsidR="00584F7F" w:rsidRDefault="00584F7F">
            <w:pPr>
              <w:rPr>
                <w:rFonts w:cs="宋体"/>
                <w:szCs w:val="21"/>
              </w:rPr>
            </w:pPr>
            <w:r>
              <w:rPr>
                <w:rFonts w:cs="宋体" w:hint="eastAsia"/>
                <w:szCs w:val="21"/>
              </w:rPr>
              <w:t>所得税影响额</w:t>
            </w:r>
          </w:p>
        </w:tc>
        <w:tc>
          <w:tcPr>
            <w:tcW w:w="1531" w:type="pct"/>
            <w:tcBorders>
              <w:top w:val="outset" w:sz="6" w:space="0" w:color="auto"/>
              <w:left w:val="outset" w:sz="6" w:space="0" w:color="auto"/>
              <w:bottom w:val="outset" w:sz="6" w:space="0" w:color="auto"/>
              <w:right w:val="outset" w:sz="6" w:space="0" w:color="auto"/>
            </w:tcBorders>
            <w:vAlign w:val="center"/>
            <w:hideMark/>
          </w:tcPr>
          <w:p w:rsidR="00584F7F" w:rsidRDefault="00584F7F">
            <w:pPr>
              <w:jc w:val="right"/>
              <w:rPr>
                <w:rFonts w:cs="宋体"/>
                <w:szCs w:val="21"/>
              </w:rPr>
            </w:pPr>
            <w:r>
              <w:rPr>
                <w:rFonts w:cs="宋体" w:hint="eastAsia"/>
                <w:szCs w:val="21"/>
              </w:rPr>
              <w:t>-2,686,682.68</w:t>
            </w:r>
          </w:p>
        </w:tc>
        <w:tc>
          <w:tcPr>
            <w:tcW w:w="1612" w:type="pct"/>
            <w:tcBorders>
              <w:top w:val="outset" w:sz="6" w:space="0" w:color="auto"/>
              <w:left w:val="outset" w:sz="6" w:space="0" w:color="auto"/>
              <w:bottom w:val="outset" w:sz="6" w:space="0" w:color="auto"/>
              <w:right w:val="outset" w:sz="6" w:space="0" w:color="auto"/>
            </w:tcBorders>
            <w:vAlign w:val="center"/>
            <w:hideMark/>
          </w:tcPr>
          <w:p w:rsidR="00584F7F" w:rsidRDefault="00584F7F">
            <w:pPr>
              <w:jc w:val="right"/>
              <w:rPr>
                <w:rFonts w:cs="宋体"/>
                <w:szCs w:val="21"/>
              </w:rPr>
            </w:pPr>
            <w:r>
              <w:rPr>
                <w:rFonts w:cs="宋体" w:hint="eastAsia"/>
                <w:szCs w:val="21"/>
              </w:rPr>
              <w:t>-8,859,675.81</w:t>
            </w:r>
          </w:p>
        </w:tc>
      </w:tr>
      <w:tr w:rsidR="00584F7F" w:rsidTr="00584F7F">
        <w:trPr>
          <w:divId w:val="1255627665"/>
        </w:trPr>
        <w:tc>
          <w:tcPr>
            <w:tcW w:w="1857" w:type="pct"/>
            <w:tcBorders>
              <w:top w:val="outset" w:sz="6" w:space="0" w:color="auto"/>
              <w:left w:val="outset" w:sz="6" w:space="0" w:color="auto"/>
              <w:bottom w:val="outset" w:sz="6" w:space="0" w:color="auto"/>
              <w:right w:val="outset" w:sz="6" w:space="0" w:color="auto"/>
            </w:tcBorders>
            <w:vAlign w:val="center"/>
            <w:hideMark/>
          </w:tcPr>
          <w:p w:rsidR="00584F7F" w:rsidRDefault="00584F7F">
            <w:pPr>
              <w:rPr>
                <w:rFonts w:cs="宋体"/>
                <w:szCs w:val="21"/>
              </w:rPr>
            </w:pPr>
            <w:r>
              <w:rPr>
                <w:rFonts w:cs="宋体" w:hint="eastAsia"/>
                <w:szCs w:val="21"/>
              </w:rPr>
              <w:t>少数股东权益影响额（税后）</w:t>
            </w:r>
          </w:p>
        </w:tc>
        <w:tc>
          <w:tcPr>
            <w:tcW w:w="1531" w:type="pct"/>
            <w:tcBorders>
              <w:top w:val="outset" w:sz="6" w:space="0" w:color="auto"/>
              <w:left w:val="outset" w:sz="6" w:space="0" w:color="auto"/>
              <w:bottom w:val="outset" w:sz="6" w:space="0" w:color="auto"/>
              <w:right w:val="outset" w:sz="6" w:space="0" w:color="auto"/>
            </w:tcBorders>
            <w:vAlign w:val="center"/>
            <w:hideMark/>
          </w:tcPr>
          <w:p w:rsidR="00584F7F" w:rsidRDefault="00584F7F">
            <w:pPr>
              <w:jc w:val="right"/>
              <w:rPr>
                <w:rFonts w:cs="宋体"/>
                <w:szCs w:val="21"/>
              </w:rPr>
            </w:pPr>
            <w:r>
              <w:rPr>
                <w:rFonts w:cs="宋体" w:hint="eastAsia"/>
                <w:szCs w:val="21"/>
              </w:rPr>
              <w:t>-4,493,091.20</w:t>
            </w:r>
          </w:p>
        </w:tc>
        <w:tc>
          <w:tcPr>
            <w:tcW w:w="1612" w:type="pct"/>
            <w:tcBorders>
              <w:top w:val="outset" w:sz="6" w:space="0" w:color="auto"/>
              <w:left w:val="outset" w:sz="6" w:space="0" w:color="auto"/>
              <w:bottom w:val="outset" w:sz="6" w:space="0" w:color="auto"/>
              <w:right w:val="outset" w:sz="6" w:space="0" w:color="auto"/>
            </w:tcBorders>
            <w:vAlign w:val="center"/>
            <w:hideMark/>
          </w:tcPr>
          <w:p w:rsidR="00584F7F" w:rsidRDefault="00584F7F">
            <w:pPr>
              <w:jc w:val="right"/>
              <w:rPr>
                <w:rFonts w:cs="宋体"/>
                <w:szCs w:val="21"/>
              </w:rPr>
            </w:pPr>
            <w:r>
              <w:rPr>
                <w:rFonts w:cs="宋体" w:hint="eastAsia"/>
                <w:szCs w:val="21"/>
              </w:rPr>
              <w:t>-8,875,130.71</w:t>
            </w:r>
          </w:p>
        </w:tc>
      </w:tr>
      <w:tr w:rsidR="00584F7F" w:rsidTr="00584F7F">
        <w:trPr>
          <w:divId w:val="1255627665"/>
        </w:trPr>
        <w:tc>
          <w:tcPr>
            <w:tcW w:w="1857" w:type="pct"/>
            <w:tcBorders>
              <w:top w:val="outset" w:sz="6" w:space="0" w:color="auto"/>
              <w:left w:val="outset" w:sz="6" w:space="0" w:color="auto"/>
              <w:bottom w:val="outset" w:sz="6" w:space="0" w:color="auto"/>
              <w:right w:val="outset" w:sz="6" w:space="0" w:color="auto"/>
            </w:tcBorders>
            <w:vAlign w:val="center"/>
            <w:hideMark/>
          </w:tcPr>
          <w:p w:rsidR="00584F7F" w:rsidRDefault="00584F7F">
            <w:pPr>
              <w:jc w:val="center"/>
              <w:rPr>
                <w:rFonts w:cs="宋体"/>
                <w:szCs w:val="21"/>
              </w:rPr>
            </w:pPr>
            <w:r>
              <w:rPr>
                <w:rFonts w:cs="宋体" w:hint="eastAsia"/>
                <w:szCs w:val="21"/>
              </w:rPr>
              <w:t>合计</w:t>
            </w:r>
          </w:p>
        </w:tc>
        <w:tc>
          <w:tcPr>
            <w:tcW w:w="1531" w:type="pct"/>
            <w:tcBorders>
              <w:top w:val="outset" w:sz="6" w:space="0" w:color="auto"/>
              <w:left w:val="outset" w:sz="6" w:space="0" w:color="auto"/>
              <w:bottom w:val="outset" w:sz="6" w:space="0" w:color="auto"/>
              <w:right w:val="outset" w:sz="6" w:space="0" w:color="auto"/>
            </w:tcBorders>
            <w:vAlign w:val="center"/>
            <w:hideMark/>
          </w:tcPr>
          <w:p w:rsidR="00584F7F" w:rsidRDefault="00584F7F">
            <w:pPr>
              <w:jc w:val="right"/>
              <w:rPr>
                <w:rFonts w:cs="宋体"/>
                <w:szCs w:val="21"/>
              </w:rPr>
            </w:pPr>
            <w:r>
              <w:rPr>
                <w:rFonts w:cs="宋体" w:hint="eastAsia"/>
                <w:szCs w:val="21"/>
              </w:rPr>
              <w:t>1,315,336.92</w:t>
            </w:r>
          </w:p>
        </w:tc>
        <w:tc>
          <w:tcPr>
            <w:tcW w:w="1612" w:type="pct"/>
            <w:tcBorders>
              <w:top w:val="outset" w:sz="6" w:space="0" w:color="auto"/>
              <w:left w:val="outset" w:sz="6" w:space="0" w:color="auto"/>
              <w:bottom w:val="outset" w:sz="6" w:space="0" w:color="auto"/>
              <w:right w:val="outset" w:sz="6" w:space="0" w:color="auto"/>
            </w:tcBorders>
            <w:vAlign w:val="center"/>
            <w:hideMark/>
          </w:tcPr>
          <w:p w:rsidR="00584F7F" w:rsidRDefault="00584F7F">
            <w:pPr>
              <w:jc w:val="right"/>
              <w:rPr>
                <w:rFonts w:cs="宋体"/>
                <w:szCs w:val="21"/>
              </w:rPr>
            </w:pPr>
            <w:r>
              <w:rPr>
                <w:rFonts w:cs="宋体" w:hint="eastAsia"/>
                <w:szCs w:val="21"/>
              </w:rPr>
              <w:t>10,845,414.88</w:t>
            </w:r>
          </w:p>
        </w:tc>
      </w:tr>
    </w:tbl>
    <w:p w:rsidR="00584F7F" w:rsidRDefault="00584F7F">
      <w:pPr>
        <w:divId w:val="1255627665"/>
        <w:rPr>
          <w:rFonts w:cs="宋体"/>
          <w:szCs w:val="21"/>
        </w:rPr>
      </w:pPr>
    </w:p>
    <w:p w:rsidR="006A7F38" w:rsidRDefault="006A7F38">
      <w:pPr>
        <w:divId w:val="1255627665"/>
        <w:rPr>
          <w:rFonts w:cs="宋体"/>
          <w:szCs w:val="21"/>
        </w:rPr>
      </w:pPr>
      <w:r>
        <w:rPr>
          <w:rFonts w:cs="宋体" w:hint="eastAsia"/>
          <w:szCs w:val="21"/>
        </w:rPr>
        <w:t>2.2  截至报告期末的股东总数、前十名股东、前十名无限售条件股东的持股情况表</w:t>
      </w:r>
    </w:p>
    <w:p w:rsidR="006A7F38" w:rsidRDefault="006A7F38">
      <w:pPr>
        <w:jc w:val="right"/>
        <w:divId w:val="1255627665"/>
        <w:rPr>
          <w:rFonts w:hAnsi="Times New Roman"/>
          <w:szCs w:val="18"/>
        </w:rPr>
      </w:pPr>
      <w:r>
        <w:rPr>
          <w:rFonts w:hint="eastAsia"/>
        </w:rPr>
        <w:t>单位：股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194"/>
        <w:gridCol w:w="1730"/>
        <w:gridCol w:w="800"/>
        <w:gridCol w:w="1581"/>
        <w:gridCol w:w="800"/>
        <w:gridCol w:w="2195"/>
      </w:tblGrid>
      <w:tr w:rsidR="006A7F38">
        <w:trPr>
          <w:divId w:val="1255627665"/>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股东总数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334,328</w:t>
            </w:r>
          </w:p>
        </w:tc>
      </w:tr>
      <w:tr w:rsidR="006A7F38">
        <w:trPr>
          <w:divId w:val="1255627665"/>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szCs w:val="21"/>
              </w:rPr>
              <w:t>前十名股东持股情况</w:t>
            </w:r>
          </w:p>
        </w:tc>
      </w:tr>
      <w:tr w:rsidR="006A7F38">
        <w:trPr>
          <w:divId w:val="1255627665"/>
        </w:trPr>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szCs w:val="21"/>
              </w:rPr>
              <w:t>股东名称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szCs w:val="21"/>
              </w:rPr>
              <w:t>股东性质</w:t>
            </w:r>
          </w:p>
        </w:tc>
        <w:tc>
          <w:tcPr>
            <w:tcW w:w="150" w:type="dxa"/>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szCs w:val="21"/>
              </w:rPr>
              <w:t>持股比例(%)</w:t>
            </w:r>
          </w:p>
        </w:tc>
        <w:tc>
          <w:tcPr>
            <w:tcW w:w="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szCs w:val="21"/>
              </w:rPr>
              <w:t>持股总数</w:t>
            </w:r>
          </w:p>
        </w:tc>
        <w:tc>
          <w:tcPr>
            <w:tcW w:w="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szCs w:val="21"/>
              </w:rPr>
              <w:t>持有有限售条件股</w:t>
            </w:r>
            <w:r>
              <w:rPr>
                <w:rFonts w:cs="宋体" w:hint="eastAsia"/>
                <w:szCs w:val="21"/>
              </w:rPr>
              <w:lastRenderedPageBreak/>
              <w:t>份数量</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szCs w:val="21"/>
              </w:rPr>
              <w:lastRenderedPageBreak/>
              <w:t>质押或冻结的股份数量</w:t>
            </w:r>
          </w:p>
        </w:tc>
      </w:tr>
      <w:tr w:rsidR="006A7F38">
        <w:trPr>
          <w:divId w:val="1255627665"/>
        </w:trPr>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lastRenderedPageBreak/>
              <w:t>中国黄金集团公司</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国有法人</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1,471,888,685</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ook w:val="04A0"/>
            </w:tblPr>
            <w:tblGrid>
              <w:gridCol w:w="1024"/>
              <w:gridCol w:w="1025"/>
            </w:tblGrid>
            <w:tr w:rsidR="006A7F38">
              <w:tc>
                <w:tcPr>
                  <w:tcW w:w="2500" w:type="pct"/>
                  <w:vAlign w:val="center"/>
                  <w:hideMark/>
                </w:tcPr>
                <w:p w:rsidR="006A7F38" w:rsidRDefault="006A7F38">
                  <w:pPr>
                    <w:rPr>
                      <w:rFonts w:cs="宋体"/>
                      <w:szCs w:val="21"/>
                    </w:rPr>
                  </w:pPr>
                  <w:r>
                    <w:rPr>
                      <w:rFonts w:cs="宋体" w:hint="eastAsia"/>
                      <w:szCs w:val="21"/>
                    </w:rPr>
                    <w:t>无</w:t>
                  </w:r>
                </w:p>
              </w:tc>
              <w:tc>
                <w:tcPr>
                  <w:tcW w:w="2500" w:type="pct"/>
                  <w:vAlign w:val="center"/>
                  <w:hideMark/>
                </w:tcPr>
                <w:p w:rsidR="006A7F38" w:rsidRDefault="006A7F38">
                  <w:pPr>
                    <w:jc w:val="right"/>
                    <w:rPr>
                      <w:rFonts w:cs="宋体"/>
                      <w:szCs w:val="21"/>
                    </w:rPr>
                  </w:pPr>
                  <w:r>
                    <w:rPr>
                      <w:rFonts w:cs="宋体" w:hint="eastAsia"/>
                      <w:szCs w:val="21"/>
                    </w:rPr>
                    <w:t>0</w:t>
                  </w:r>
                </w:p>
              </w:tc>
            </w:tr>
          </w:tbl>
          <w:p w:rsidR="006A7F38" w:rsidRDefault="006A7F38">
            <w:pPr>
              <w:rPr>
                <w:rFonts w:cs="宋体"/>
                <w:szCs w:val="21"/>
              </w:rPr>
            </w:pPr>
          </w:p>
        </w:tc>
      </w:tr>
      <w:tr w:rsidR="006A7F38">
        <w:trPr>
          <w:divId w:val="1255627665"/>
        </w:trPr>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中国人民财产保险股份有限公司－传统－普通保险产品－008C－CT001沪</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其他</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30,931,058</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ook w:val="04A0"/>
            </w:tblPr>
            <w:tblGrid>
              <w:gridCol w:w="1024"/>
              <w:gridCol w:w="1025"/>
            </w:tblGrid>
            <w:tr w:rsidR="006A7F38">
              <w:tc>
                <w:tcPr>
                  <w:tcW w:w="2500" w:type="pct"/>
                  <w:vAlign w:val="center"/>
                  <w:hideMark/>
                </w:tcPr>
                <w:p w:rsidR="006A7F38" w:rsidRDefault="006A7F38">
                  <w:pPr>
                    <w:rPr>
                      <w:rFonts w:cs="宋体"/>
                      <w:szCs w:val="21"/>
                    </w:rPr>
                  </w:pPr>
                  <w:r>
                    <w:rPr>
                      <w:rFonts w:cs="宋体" w:hint="eastAsia"/>
                      <w:szCs w:val="21"/>
                    </w:rPr>
                    <w:t>无</w:t>
                  </w:r>
                </w:p>
              </w:tc>
              <w:tc>
                <w:tcPr>
                  <w:tcW w:w="2500" w:type="pct"/>
                  <w:vAlign w:val="center"/>
                  <w:hideMark/>
                </w:tcPr>
                <w:p w:rsidR="006A7F38" w:rsidRDefault="006A7F38">
                  <w:pPr>
                    <w:jc w:val="right"/>
                    <w:rPr>
                      <w:rFonts w:cs="宋体"/>
                      <w:szCs w:val="21"/>
                    </w:rPr>
                  </w:pPr>
                  <w:r>
                    <w:rPr>
                      <w:rFonts w:cs="宋体" w:hint="eastAsia"/>
                      <w:szCs w:val="21"/>
                    </w:rPr>
                    <w:t>0</w:t>
                  </w:r>
                </w:p>
              </w:tc>
            </w:tr>
          </w:tbl>
          <w:p w:rsidR="006A7F38" w:rsidRDefault="006A7F38">
            <w:pPr>
              <w:rPr>
                <w:rFonts w:cs="宋体"/>
                <w:szCs w:val="21"/>
              </w:rPr>
            </w:pPr>
          </w:p>
        </w:tc>
      </w:tr>
      <w:tr w:rsidR="006A7F38">
        <w:trPr>
          <w:divId w:val="1255627665"/>
        </w:trPr>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建银国际资本管理（天津）有限公司</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其他</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29,500,000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ook w:val="04A0"/>
            </w:tblPr>
            <w:tblGrid>
              <w:gridCol w:w="1024"/>
              <w:gridCol w:w="1025"/>
            </w:tblGrid>
            <w:tr w:rsidR="006A7F38">
              <w:tc>
                <w:tcPr>
                  <w:tcW w:w="2500" w:type="pct"/>
                  <w:vAlign w:val="center"/>
                  <w:hideMark/>
                </w:tcPr>
                <w:p w:rsidR="006A7F38" w:rsidRDefault="006A7F38">
                  <w:pPr>
                    <w:rPr>
                      <w:rFonts w:cs="宋体"/>
                      <w:szCs w:val="21"/>
                    </w:rPr>
                  </w:pPr>
                  <w:r>
                    <w:rPr>
                      <w:rFonts w:cs="宋体" w:hint="eastAsia"/>
                      <w:szCs w:val="21"/>
                    </w:rPr>
                    <w:t>无</w:t>
                  </w:r>
                </w:p>
              </w:tc>
              <w:tc>
                <w:tcPr>
                  <w:tcW w:w="2500" w:type="pct"/>
                  <w:vAlign w:val="center"/>
                  <w:hideMark/>
                </w:tcPr>
                <w:p w:rsidR="006A7F38" w:rsidRDefault="006A7F38">
                  <w:pPr>
                    <w:jc w:val="right"/>
                    <w:rPr>
                      <w:rFonts w:cs="宋体"/>
                      <w:szCs w:val="21"/>
                    </w:rPr>
                  </w:pPr>
                  <w:r>
                    <w:rPr>
                      <w:rFonts w:cs="宋体" w:hint="eastAsia"/>
                      <w:szCs w:val="21"/>
                    </w:rPr>
                    <w:t>0</w:t>
                  </w:r>
                </w:p>
              </w:tc>
            </w:tr>
          </w:tbl>
          <w:p w:rsidR="006A7F38" w:rsidRDefault="006A7F38">
            <w:pPr>
              <w:rPr>
                <w:rFonts w:cs="宋体"/>
                <w:szCs w:val="21"/>
              </w:rPr>
            </w:pPr>
          </w:p>
        </w:tc>
      </w:tr>
      <w:tr w:rsidR="006A7F38">
        <w:trPr>
          <w:divId w:val="1255627665"/>
        </w:trPr>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宁波青春投资有限公司</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其他</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0.80</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23,400,000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ook w:val="04A0"/>
            </w:tblPr>
            <w:tblGrid>
              <w:gridCol w:w="1024"/>
              <w:gridCol w:w="1025"/>
            </w:tblGrid>
            <w:tr w:rsidR="006A7F38">
              <w:tc>
                <w:tcPr>
                  <w:tcW w:w="2500" w:type="pct"/>
                  <w:vAlign w:val="center"/>
                  <w:hideMark/>
                </w:tcPr>
                <w:p w:rsidR="006A7F38" w:rsidRDefault="006A7F38">
                  <w:pPr>
                    <w:rPr>
                      <w:rFonts w:cs="宋体"/>
                      <w:szCs w:val="21"/>
                    </w:rPr>
                  </w:pPr>
                  <w:r>
                    <w:rPr>
                      <w:rFonts w:cs="宋体" w:hint="eastAsia"/>
                      <w:szCs w:val="21"/>
                    </w:rPr>
                    <w:t>无</w:t>
                  </w:r>
                </w:p>
              </w:tc>
              <w:tc>
                <w:tcPr>
                  <w:tcW w:w="2500" w:type="pct"/>
                  <w:vAlign w:val="center"/>
                  <w:hideMark/>
                </w:tcPr>
                <w:p w:rsidR="006A7F38" w:rsidRDefault="006A7F38">
                  <w:pPr>
                    <w:jc w:val="right"/>
                    <w:rPr>
                      <w:rFonts w:cs="宋体"/>
                      <w:szCs w:val="21"/>
                    </w:rPr>
                  </w:pPr>
                  <w:r>
                    <w:rPr>
                      <w:rFonts w:cs="宋体" w:hint="eastAsia"/>
                      <w:szCs w:val="21"/>
                    </w:rPr>
                    <w:t>0</w:t>
                  </w:r>
                </w:p>
              </w:tc>
            </w:tr>
          </w:tbl>
          <w:p w:rsidR="006A7F38" w:rsidRDefault="006A7F38">
            <w:pPr>
              <w:rPr>
                <w:rFonts w:cs="宋体"/>
                <w:szCs w:val="21"/>
              </w:rPr>
            </w:pPr>
          </w:p>
        </w:tc>
      </w:tr>
      <w:tr w:rsidR="006A7F38">
        <w:trPr>
          <w:divId w:val="1255627665"/>
        </w:trPr>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上海彤卉实业有限公司</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其他</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17,300,762</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ook w:val="04A0"/>
            </w:tblPr>
            <w:tblGrid>
              <w:gridCol w:w="1024"/>
              <w:gridCol w:w="1025"/>
            </w:tblGrid>
            <w:tr w:rsidR="006A7F38">
              <w:tc>
                <w:tcPr>
                  <w:tcW w:w="2500" w:type="pct"/>
                  <w:vAlign w:val="center"/>
                  <w:hideMark/>
                </w:tcPr>
                <w:p w:rsidR="006A7F38" w:rsidRDefault="006A7F38">
                  <w:pPr>
                    <w:rPr>
                      <w:rFonts w:cs="宋体"/>
                      <w:szCs w:val="21"/>
                    </w:rPr>
                  </w:pPr>
                  <w:r>
                    <w:rPr>
                      <w:rFonts w:cs="宋体" w:hint="eastAsia"/>
                      <w:szCs w:val="21"/>
                    </w:rPr>
                    <w:t>无</w:t>
                  </w:r>
                </w:p>
              </w:tc>
              <w:tc>
                <w:tcPr>
                  <w:tcW w:w="2500" w:type="pct"/>
                  <w:vAlign w:val="center"/>
                  <w:hideMark/>
                </w:tcPr>
                <w:p w:rsidR="006A7F38" w:rsidRDefault="006A7F38">
                  <w:pPr>
                    <w:jc w:val="right"/>
                    <w:rPr>
                      <w:rFonts w:cs="宋体"/>
                      <w:szCs w:val="21"/>
                    </w:rPr>
                  </w:pPr>
                  <w:r>
                    <w:rPr>
                      <w:rFonts w:cs="宋体" w:hint="eastAsia"/>
                      <w:szCs w:val="21"/>
                    </w:rPr>
                    <w:t>0</w:t>
                  </w:r>
                </w:p>
              </w:tc>
            </w:tr>
          </w:tbl>
          <w:p w:rsidR="006A7F38" w:rsidRDefault="006A7F38">
            <w:pPr>
              <w:rPr>
                <w:rFonts w:cs="宋体"/>
                <w:szCs w:val="21"/>
              </w:rPr>
            </w:pPr>
          </w:p>
        </w:tc>
      </w:tr>
      <w:tr w:rsidR="006A7F38">
        <w:trPr>
          <w:divId w:val="1255627665"/>
        </w:trPr>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中国工商银行－上证50交易型开放式指数证券投资基金</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其他</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16,300,856</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ook w:val="04A0"/>
            </w:tblPr>
            <w:tblGrid>
              <w:gridCol w:w="1024"/>
              <w:gridCol w:w="1025"/>
            </w:tblGrid>
            <w:tr w:rsidR="006A7F38">
              <w:tc>
                <w:tcPr>
                  <w:tcW w:w="2500" w:type="pct"/>
                  <w:vAlign w:val="center"/>
                  <w:hideMark/>
                </w:tcPr>
                <w:p w:rsidR="006A7F38" w:rsidRDefault="006A7F38">
                  <w:pPr>
                    <w:rPr>
                      <w:rFonts w:cs="宋体"/>
                      <w:szCs w:val="21"/>
                    </w:rPr>
                  </w:pPr>
                  <w:r>
                    <w:rPr>
                      <w:rFonts w:cs="宋体" w:hint="eastAsia"/>
                      <w:szCs w:val="21"/>
                    </w:rPr>
                    <w:t>无</w:t>
                  </w:r>
                </w:p>
              </w:tc>
              <w:tc>
                <w:tcPr>
                  <w:tcW w:w="2500" w:type="pct"/>
                  <w:vAlign w:val="center"/>
                  <w:hideMark/>
                </w:tcPr>
                <w:p w:rsidR="006A7F38" w:rsidRDefault="006A7F38">
                  <w:pPr>
                    <w:jc w:val="right"/>
                    <w:rPr>
                      <w:rFonts w:cs="宋体"/>
                      <w:szCs w:val="21"/>
                    </w:rPr>
                  </w:pPr>
                  <w:r>
                    <w:rPr>
                      <w:rFonts w:cs="宋体" w:hint="eastAsia"/>
                      <w:szCs w:val="21"/>
                    </w:rPr>
                    <w:t>0</w:t>
                  </w:r>
                </w:p>
              </w:tc>
            </w:tr>
          </w:tbl>
          <w:p w:rsidR="006A7F38" w:rsidRDefault="006A7F38">
            <w:pPr>
              <w:rPr>
                <w:rFonts w:cs="宋体"/>
                <w:szCs w:val="21"/>
              </w:rPr>
            </w:pPr>
          </w:p>
        </w:tc>
      </w:tr>
      <w:tr w:rsidR="006A7F38">
        <w:trPr>
          <w:divId w:val="1255627665"/>
        </w:trPr>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中国工商银行－南方隆元产业主题股票型证券投资基金</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其他</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0.54</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15,979,049</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ook w:val="04A0"/>
            </w:tblPr>
            <w:tblGrid>
              <w:gridCol w:w="1024"/>
              <w:gridCol w:w="1025"/>
            </w:tblGrid>
            <w:tr w:rsidR="006A7F38">
              <w:tc>
                <w:tcPr>
                  <w:tcW w:w="2500" w:type="pct"/>
                  <w:vAlign w:val="center"/>
                  <w:hideMark/>
                </w:tcPr>
                <w:p w:rsidR="006A7F38" w:rsidRDefault="006A7F38">
                  <w:pPr>
                    <w:rPr>
                      <w:rFonts w:cs="宋体"/>
                      <w:szCs w:val="21"/>
                    </w:rPr>
                  </w:pPr>
                  <w:r>
                    <w:rPr>
                      <w:rFonts w:cs="宋体" w:hint="eastAsia"/>
                      <w:szCs w:val="21"/>
                    </w:rPr>
                    <w:t>无</w:t>
                  </w:r>
                </w:p>
              </w:tc>
              <w:tc>
                <w:tcPr>
                  <w:tcW w:w="2500" w:type="pct"/>
                  <w:vAlign w:val="center"/>
                  <w:hideMark/>
                </w:tcPr>
                <w:p w:rsidR="006A7F38" w:rsidRDefault="006A7F38">
                  <w:pPr>
                    <w:jc w:val="right"/>
                    <w:rPr>
                      <w:rFonts w:cs="宋体"/>
                      <w:szCs w:val="21"/>
                    </w:rPr>
                  </w:pPr>
                  <w:r>
                    <w:rPr>
                      <w:rFonts w:cs="宋体" w:hint="eastAsia"/>
                      <w:szCs w:val="21"/>
                    </w:rPr>
                    <w:t>0</w:t>
                  </w:r>
                </w:p>
              </w:tc>
            </w:tr>
          </w:tbl>
          <w:p w:rsidR="006A7F38" w:rsidRDefault="006A7F38">
            <w:pPr>
              <w:rPr>
                <w:rFonts w:cs="宋体"/>
                <w:szCs w:val="21"/>
              </w:rPr>
            </w:pPr>
          </w:p>
        </w:tc>
      </w:tr>
      <w:tr w:rsidR="006A7F38">
        <w:trPr>
          <w:divId w:val="1255627665"/>
        </w:trPr>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中国人民人寿保险股份有限公司－万能－个险万能</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其他</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0.41</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12,171,781</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ook w:val="04A0"/>
            </w:tblPr>
            <w:tblGrid>
              <w:gridCol w:w="1024"/>
              <w:gridCol w:w="1025"/>
            </w:tblGrid>
            <w:tr w:rsidR="006A7F38">
              <w:tc>
                <w:tcPr>
                  <w:tcW w:w="2500" w:type="pct"/>
                  <w:vAlign w:val="center"/>
                  <w:hideMark/>
                </w:tcPr>
                <w:p w:rsidR="006A7F38" w:rsidRDefault="006A7F38">
                  <w:pPr>
                    <w:rPr>
                      <w:rFonts w:cs="宋体"/>
                      <w:szCs w:val="21"/>
                    </w:rPr>
                  </w:pPr>
                  <w:r>
                    <w:rPr>
                      <w:rFonts w:cs="宋体" w:hint="eastAsia"/>
                      <w:szCs w:val="21"/>
                    </w:rPr>
                    <w:t>无</w:t>
                  </w:r>
                </w:p>
              </w:tc>
              <w:tc>
                <w:tcPr>
                  <w:tcW w:w="2500" w:type="pct"/>
                  <w:vAlign w:val="center"/>
                  <w:hideMark/>
                </w:tcPr>
                <w:p w:rsidR="006A7F38" w:rsidRDefault="006A7F38">
                  <w:pPr>
                    <w:jc w:val="right"/>
                    <w:rPr>
                      <w:rFonts w:cs="宋体"/>
                      <w:szCs w:val="21"/>
                    </w:rPr>
                  </w:pPr>
                  <w:r>
                    <w:rPr>
                      <w:rFonts w:cs="宋体" w:hint="eastAsia"/>
                      <w:szCs w:val="21"/>
                    </w:rPr>
                    <w:t>0</w:t>
                  </w:r>
                </w:p>
              </w:tc>
            </w:tr>
          </w:tbl>
          <w:p w:rsidR="006A7F38" w:rsidRDefault="006A7F38">
            <w:pPr>
              <w:rPr>
                <w:rFonts w:cs="宋体"/>
                <w:szCs w:val="21"/>
              </w:rPr>
            </w:pPr>
          </w:p>
        </w:tc>
      </w:tr>
      <w:tr w:rsidR="006A7F38">
        <w:trPr>
          <w:divId w:val="1255627665"/>
        </w:trPr>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中国证券金融股份有限公司转融通担保证券账户</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其他</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0.39</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11,464,620</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ook w:val="04A0"/>
            </w:tblPr>
            <w:tblGrid>
              <w:gridCol w:w="1024"/>
              <w:gridCol w:w="1025"/>
            </w:tblGrid>
            <w:tr w:rsidR="006A7F38">
              <w:tc>
                <w:tcPr>
                  <w:tcW w:w="2500" w:type="pct"/>
                  <w:vAlign w:val="center"/>
                  <w:hideMark/>
                </w:tcPr>
                <w:p w:rsidR="006A7F38" w:rsidRDefault="006A7F38">
                  <w:pPr>
                    <w:rPr>
                      <w:rFonts w:cs="宋体"/>
                      <w:szCs w:val="21"/>
                    </w:rPr>
                  </w:pPr>
                  <w:r>
                    <w:rPr>
                      <w:rFonts w:cs="宋体" w:hint="eastAsia"/>
                      <w:szCs w:val="21"/>
                    </w:rPr>
                    <w:t>无</w:t>
                  </w:r>
                </w:p>
              </w:tc>
              <w:tc>
                <w:tcPr>
                  <w:tcW w:w="2500" w:type="pct"/>
                  <w:vAlign w:val="center"/>
                  <w:hideMark/>
                </w:tcPr>
                <w:p w:rsidR="006A7F38" w:rsidRDefault="006A7F38">
                  <w:pPr>
                    <w:jc w:val="right"/>
                    <w:rPr>
                      <w:rFonts w:cs="宋体"/>
                      <w:szCs w:val="21"/>
                    </w:rPr>
                  </w:pPr>
                  <w:r>
                    <w:rPr>
                      <w:rFonts w:cs="宋体" w:hint="eastAsia"/>
                      <w:szCs w:val="21"/>
                    </w:rPr>
                    <w:t>0</w:t>
                  </w:r>
                </w:p>
              </w:tc>
            </w:tr>
          </w:tbl>
          <w:p w:rsidR="006A7F38" w:rsidRDefault="006A7F38">
            <w:pPr>
              <w:rPr>
                <w:rFonts w:cs="宋体"/>
                <w:szCs w:val="21"/>
              </w:rPr>
            </w:pPr>
          </w:p>
        </w:tc>
      </w:tr>
      <w:tr w:rsidR="006A7F38">
        <w:trPr>
          <w:divId w:val="1255627665"/>
        </w:trPr>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中国银行股份有限公司－嘉实沪深300交易型开放式指数证券投资基金</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其他</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0.29</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8,388,334</w:t>
            </w:r>
          </w:p>
        </w:tc>
        <w:tc>
          <w:tcPr>
            <w:tcW w:w="0" w:type="auto"/>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ook w:val="04A0"/>
            </w:tblPr>
            <w:tblGrid>
              <w:gridCol w:w="1024"/>
              <w:gridCol w:w="1025"/>
            </w:tblGrid>
            <w:tr w:rsidR="006A7F38">
              <w:tc>
                <w:tcPr>
                  <w:tcW w:w="2500" w:type="pct"/>
                  <w:vAlign w:val="center"/>
                  <w:hideMark/>
                </w:tcPr>
                <w:p w:rsidR="006A7F38" w:rsidRDefault="006A7F38">
                  <w:pPr>
                    <w:rPr>
                      <w:rFonts w:cs="宋体"/>
                      <w:szCs w:val="21"/>
                    </w:rPr>
                  </w:pPr>
                  <w:r>
                    <w:rPr>
                      <w:rFonts w:cs="宋体" w:hint="eastAsia"/>
                      <w:szCs w:val="21"/>
                    </w:rPr>
                    <w:t>无</w:t>
                  </w:r>
                </w:p>
              </w:tc>
              <w:tc>
                <w:tcPr>
                  <w:tcW w:w="2500" w:type="pct"/>
                  <w:vAlign w:val="center"/>
                  <w:hideMark/>
                </w:tcPr>
                <w:p w:rsidR="006A7F38" w:rsidRDefault="006A7F38">
                  <w:pPr>
                    <w:jc w:val="right"/>
                    <w:rPr>
                      <w:rFonts w:cs="宋体"/>
                      <w:szCs w:val="21"/>
                    </w:rPr>
                  </w:pPr>
                  <w:r>
                    <w:rPr>
                      <w:rFonts w:cs="宋体" w:hint="eastAsia"/>
                      <w:szCs w:val="21"/>
                    </w:rPr>
                    <w:t>0</w:t>
                  </w:r>
                </w:p>
              </w:tc>
            </w:tr>
          </w:tbl>
          <w:p w:rsidR="006A7F38" w:rsidRDefault="006A7F38">
            <w:pPr>
              <w:rPr>
                <w:rFonts w:cs="宋体"/>
                <w:szCs w:val="21"/>
              </w:rPr>
            </w:pPr>
          </w:p>
        </w:tc>
      </w:tr>
      <w:tr w:rsidR="006A7F38">
        <w:trPr>
          <w:divId w:val="1255627665"/>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szCs w:val="21"/>
              </w:rPr>
              <w:t>前十名无限售条件流通股股东持股情况</w:t>
            </w:r>
          </w:p>
        </w:tc>
      </w:tr>
      <w:tr w:rsidR="006A7F38">
        <w:trPr>
          <w:divId w:val="1255627665"/>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szCs w:val="21"/>
              </w:rPr>
              <w:t>股东名称（全称）</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szCs w:val="21"/>
              </w:rPr>
              <w:t>期末持有无限售条件流通股的数量</w:t>
            </w:r>
          </w:p>
        </w:tc>
        <w:tc>
          <w:tcPr>
            <w:tcW w:w="1750" w:type="pct"/>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szCs w:val="21"/>
              </w:rPr>
              <w:t>股份种类及数量</w:t>
            </w:r>
          </w:p>
        </w:tc>
      </w:tr>
      <w:tr w:rsidR="006A7F38">
        <w:trPr>
          <w:divId w:val="1255627665"/>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中国黄金集团公司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1,471,888,685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399"/>
              <w:gridCol w:w="1581"/>
            </w:tblGrid>
            <w:tr w:rsidR="006A7F38">
              <w:tc>
                <w:tcPr>
                  <w:tcW w:w="2100" w:type="pct"/>
                  <w:vAlign w:val="center"/>
                  <w:hideMark/>
                </w:tcPr>
                <w:p w:rsidR="006A7F38" w:rsidRDefault="006A7F38">
                  <w:pPr>
                    <w:rPr>
                      <w:rFonts w:cs="宋体"/>
                      <w:szCs w:val="21"/>
                    </w:rPr>
                  </w:pPr>
                  <w:r>
                    <w:rPr>
                      <w:rFonts w:cs="宋体" w:hint="eastAsia"/>
                      <w:szCs w:val="21"/>
                    </w:rPr>
                    <w:t>人民币普通股</w:t>
                  </w:r>
                </w:p>
              </w:tc>
              <w:tc>
                <w:tcPr>
                  <w:tcW w:w="2100" w:type="pct"/>
                  <w:vAlign w:val="center"/>
                  <w:hideMark/>
                </w:tcPr>
                <w:p w:rsidR="006A7F38" w:rsidRDefault="006A7F38">
                  <w:pPr>
                    <w:jc w:val="right"/>
                    <w:rPr>
                      <w:rFonts w:cs="宋体"/>
                      <w:szCs w:val="21"/>
                    </w:rPr>
                  </w:pPr>
                  <w:r>
                    <w:rPr>
                      <w:rFonts w:cs="宋体" w:hint="eastAsia"/>
                      <w:szCs w:val="21"/>
                    </w:rPr>
                    <w:t>1,471,888,685</w:t>
                  </w:r>
                </w:p>
              </w:tc>
            </w:tr>
          </w:tbl>
          <w:p w:rsidR="006A7F38" w:rsidRDefault="006A7F38">
            <w:pPr>
              <w:rPr>
                <w:rFonts w:cs="宋体"/>
                <w:szCs w:val="21"/>
              </w:rPr>
            </w:pPr>
          </w:p>
        </w:tc>
      </w:tr>
      <w:tr w:rsidR="006A7F38">
        <w:trPr>
          <w:divId w:val="1255627665"/>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中国人民财产保险股份有限公司－传统－普通保险产品－008C－CT001沪</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30,931,058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490"/>
              <w:gridCol w:w="1490"/>
            </w:tblGrid>
            <w:tr w:rsidR="006A7F38">
              <w:tc>
                <w:tcPr>
                  <w:tcW w:w="2100" w:type="pct"/>
                  <w:vAlign w:val="center"/>
                  <w:hideMark/>
                </w:tcPr>
                <w:p w:rsidR="006A7F38" w:rsidRDefault="006A7F38">
                  <w:pPr>
                    <w:rPr>
                      <w:rFonts w:cs="宋体"/>
                      <w:szCs w:val="21"/>
                    </w:rPr>
                  </w:pPr>
                  <w:r>
                    <w:rPr>
                      <w:rFonts w:cs="宋体" w:hint="eastAsia"/>
                      <w:szCs w:val="21"/>
                    </w:rPr>
                    <w:t>人民币普通股</w:t>
                  </w:r>
                </w:p>
              </w:tc>
              <w:tc>
                <w:tcPr>
                  <w:tcW w:w="2100" w:type="pct"/>
                  <w:vAlign w:val="center"/>
                  <w:hideMark/>
                </w:tcPr>
                <w:p w:rsidR="006A7F38" w:rsidRDefault="006A7F38">
                  <w:pPr>
                    <w:jc w:val="right"/>
                    <w:rPr>
                      <w:rFonts w:cs="宋体"/>
                      <w:szCs w:val="21"/>
                    </w:rPr>
                  </w:pPr>
                  <w:r>
                    <w:rPr>
                      <w:rFonts w:cs="宋体" w:hint="eastAsia"/>
                      <w:szCs w:val="21"/>
                    </w:rPr>
                    <w:t>30,931,058</w:t>
                  </w:r>
                </w:p>
              </w:tc>
            </w:tr>
          </w:tbl>
          <w:p w:rsidR="006A7F38" w:rsidRDefault="006A7F38">
            <w:pPr>
              <w:rPr>
                <w:rFonts w:cs="宋体"/>
                <w:szCs w:val="21"/>
              </w:rPr>
            </w:pPr>
          </w:p>
        </w:tc>
      </w:tr>
      <w:tr w:rsidR="006A7F38">
        <w:trPr>
          <w:divId w:val="1255627665"/>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建银国际资本管理（天津）有限公司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29,500,000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490"/>
              <w:gridCol w:w="1490"/>
            </w:tblGrid>
            <w:tr w:rsidR="006A7F38">
              <w:tc>
                <w:tcPr>
                  <w:tcW w:w="2100" w:type="pct"/>
                  <w:vAlign w:val="center"/>
                  <w:hideMark/>
                </w:tcPr>
                <w:p w:rsidR="006A7F38" w:rsidRDefault="006A7F38">
                  <w:pPr>
                    <w:rPr>
                      <w:rFonts w:cs="宋体"/>
                      <w:szCs w:val="21"/>
                    </w:rPr>
                  </w:pPr>
                  <w:r>
                    <w:rPr>
                      <w:rFonts w:cs="宋体" w:hint="eastAsia"/>
                      <w:szCs w:val="21"/>
                    </w:rPr>
                    <w:t>人民币普通股</w:t>
                  </w:r>
                </w:p>
              </w:tc>
              <w:tc>
                <w:tcPr>
                  <w:tcW w:w="2100" w:type="pct"/>
                  <w:vAlign w:val="center"/>
                  <w:hideMark/>
                </w:tcPr>
                <w:p w:rsidR="006A7F38" w:rsidRDefault="006A7F38">
                  <w:pPr>
                    <w:jc w:val="right"/>
                    <w:rPr>
                      <w:rFonts w:cs="宋体"/>
                      <w:szCs w:val="21"/>
                    </w:rPr>
                  </w:pPr>
                  <w:r>
                    <w:rPr>
                      <w:rFonts w:cs="宋体" w:hint="eastAsia"/>
                      <w:szCs w:val="21"/>
                    </w:rPr>
                    <w:t>29,500,000</w:t>
                  </w:r>
                </w:p>
              </w:tc>
            </w:tr>
          </w:tbl>
          <w:p w:rsidR="006A7F38" w:rsidRDefault="006A7F38">
            <w:pPr>
              <w:rPr>
                <w:rFonts w:cs="宋体"/>
                <w:szCs w:val="21"/>
              </w:rPr>
            </w:pPr>
          </w:p>
        </w:tc>
      </w:tr>
      <w:tr w:rsidR="006A7F38">
        <w:trPr>
          <w:divId w:val="1255627665"/>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宁波青春投资有限公司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23,400,000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490"/>
              <w:gridCol w:w="1490"/>
            </w:tblGrid>
            <w:tr w:rsidR="006A7F38">
              <w:tc>
                <w:tcPr>
                  <w:tcW w:w="2100" w:type="pct"/>
                  <w:vAlign w:val="center"/>
                  <w:hideMark/>
                </w:tcPr>
                <w:p w:rsidR="006A7F38" w:rsidRDefault="006A7F38">
                  <w:pPr>
                    <w:rPr>
                      <w:rFonts w:cs="宋体"/>
                      <w:szCs w:val="21"/>
                    </w:rPr>
                  </w:pPr>
                  <w:r>
                    <w:rPr>
                      <w:rFonts w:cs="宋体" w:hint="eastAsia"/>
                      <w:szCs w:val="21"/>
                    </w:rPr>
                    <w:t>人民币普通股</w:t>
                  </w:r>
                </w:p>
              </w:tc>
              <w:tc>
                <w:tcPr>
                  <w:tcW w:w="2100" w:type="pct"/>
                  <w:vAlign w:val="center"/>
                  <w:hideMark/>
                </w:tcPr>
                <w:p w:rsidR="006A7F38" w:rsidRDefault="006A7F38">
                  <w:pPr>
                    <w:jc w:val="right"/>
                    <w:rPr>
                      <w:rFonts w:cs="宋体"/>
                      <w:szCs w:val="21"/>
                    </w:rPr>
                  </w:pPr>
                  <w:r>
                    <w:rPr>
                      <w:rFonts w:cs="宋体" w:hint="eastAsia"/>
                      <w:szCs w:val="21"/>
                    </w:rPr>
                    <w:t>23,400,000</w:t>
                  </w:r>
                </w:p>
              </w:tc>
            </w:tr>
          </w:tbl>
          <w:p w:rsidR="006A7F38" w:rsidRDefault="006A7F38">
            <w:pPr>
              <w:rPr>
                <w:rFonts w:cs="宋体"/>
                <w:szCs w:val="21"/>
              </w:rPr>
            </w:pPr>
          </w:p>
        </w:tc>
      </w:tr>
      <w:tr w:rsidR="006A7F38">
        <w:trPr>
          <w:divId w:val="1255627665"/>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上海彤卉实业有限公司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17,300,762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490"/>
              <w:gridCol w:w="1490"/>
            </w:tblGrid>
            <w:tr w:rsidR="006A7F38">
              <w:tc>
                <w:tcPr>
                  <w:tcW w:w="2100" w:type="pct"/>
                  <w:vAlign w:val="center"/>
                  <w:hideMark/>
                </w:tcPr>
                <w:p w:rsidR="006A7F38" w:rsidRDefault="006A7F38">
                  <w:pPr>
                    <w:rPr>
                      <w:rFonts w:cs="宋体"/>
                      <w:szCs w:val="21"/>
                    </w:rPr>
                  </w:pPr>
                  <w:r>
                    <w:rPr>
                      <w:rFonts w:cs="宋体" w:hint="eastAsia"/>
                      <w:szCs w:val="21"/>
                    </w:rPr>
                    <w:t>人民币普通股</w:t>
                  </w:r>
                </w:p>
              </w:tc>
              <w:tc>
                <w:tcPr>
                  <w:tcW w:w="2100" w:type="pct"/>
                  <w:vAlign w:val="center"/>
                  <w:hideMark/>
                </w:tcPr>
                <w:p w:rsidR="006A7F38" w:rsidRDefault="006A7F38">
                  <w:pPr>
                    <w:jc w:val="right"/>
                    <w:rPr>
                      <w:rFonts w:cs="宋体"/>
                      <w:szCs w:val="21"/>
                    </w:rPr>
                  </w:pPr>
                  <w:r>
                    <w:rPr>
                      <w:rFonts w:cs="宋体" w:hint="eastAsia"/>
                      <w:szCs w:val="21"/>
                    </w:rPr>
                    <w:t>17,300,762</w:t>
                  </w:r>
                </w:p>
              </w:tc>
            </w:tr>
          </w:tbl>
          <w:p w:rsidR="006A7F38" w:rsidRDefault="006A7F38">
            <w:pPr>
              <w:rPr>
                <w:rFonts w:cs="宋体"/>
                <w:szCs w:val="21"/>
              </w:rPr>
            </w:pPr>
          </w:p>
        </w:tc>
      </w:tr>
      <w:tr w:rsidR="006A7F38">
        <w:trPr>
          <w:divId w:val="1255627665"/>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中国工商银行－上证50交易型开放式指数证券投资基金</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16,300,856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490"/>
              <w:gridCol w:w="1490"/>
            </w:tblGrid>
            <w:tr w:rsidR="006A7F38">
              <w:tc>
                <w:tcPr>
                  <w:tcW w:w="2100" w:type="pct"/>
                  <w:vAlign w:val="center"/>
                  <w:hideMark/>
                </w:tcPr>
                <w:p w:rsidR="006A7F38" w:rsidRDefault="006A7F38">
                  <w:pPr>
                    <w:rPr>
                      <w:rFonts w:cs="宋体"/>
                      <w:szCs w:val="21"/>
                    </w:rPr>
                  </w:pPr>
                  <w:r>
                    <w:rPr>
                      <w:rFonts w:cs="宋体" w:hint="eastAsia"/>
                      <w:szCs w:val="21"/>
                    </w:rPr>
                    <w:t>人民币普通股</w:t>
                  </w:r>
                </w:p>
              </w:tc>
              <w:tc>
                <w:tcPr>
                  <w:tcW w:w="2100" w:type="pct"/>
                  <w:vAlign w:val="center"/>
                  <w:hideMark/>
                </w:tcPr>
                <w:p w:rsidR="006A7F38" w:rsidRDefault="006A7F38">
                  <w:pPr>
                    <w:jc w:val="right"/>
                    <w:rPr>
                      <w:rFonts w:cs="宋体"/>
                      <w:szCs w:val="21"/>
                    </w:rPr>
                  </w:pPr>
                  <w:r>
                    <w:rPr>
                      <w:rFonts w:cs="宋体" w:hint="eastAsia"/>
                      <w:szCs w:val="21"/>
                    </w:rPr>
                    <w:t>16,300,856</w:t>
                  </w:r>
                </w:p>
              </w:tc>
            </w:tr>
          </w:tbl>
          <w:p w:rsidR="006A7F38" w:rsidRDefault="006A7F38">
            <w:pPr>
              <w:rPr>
                <w:rFonts w:cs="宋体"/>
                <w:szCs w:val="21"/>
              </w:rPr>
            </w:pPr>
          </w:p>
        </w:tc>
      </w:tr>
      <w:tr w:rsidR="006A7F38">
        <w:trPr>
          <w:divId w:val="1255627665"/>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中国工商银行－南方隆元产业主题股票型证券投资基金</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15,979,049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490"/>
              <w:gridCol w:w="1490"/>
            </w:tblGrid>
            <w:tr w:rsidR="006A7F38">
              <w:tc>
                <w:tcPr>
                  <w:tcW w:w="2100" w:type="pct"/>
                  <w:vAlign w:val="center"/>
                  <w:hideMark/>
                </w:tcPr>
                <w:p w:rsidR="006A7F38" w:rsidRDefault="006A7F38">
                  <w:pPr>
                    <w:rPr>
                      <w:rFonts w:cs="宋体"/>
                      <w:szCs w:val="21"/>
                    </w:rPr>
                  </w:pPr>
                  <w:r>
                    <w:rPr>
                      <w:rFonts w:cs="宋体" w:hint="eastAsia"/>
                      <w:szCs w:val="21"/>
                    </w:rPr>
                    <w:t>人民币普通股</w:t>
                  </w:r>
                </w:p>
              </w:tc>
              <w:tc>
                <w:tcPr>
                  <w:tcW w:w="2100" w:type="pct"/>
                  <w:vAlign w:val="center"/>
                  <w:hideMark/>
                </w:tcPr>
                <w:p w:rsidR="006A7F38" w:rsidRDefault="006A7F38">
                  <w:pPr>
                    <w:jc w:val="right"/>
                    <w:rPr>
                      <w:rFonts w:cs="宋体"/>
                      <w:szCs w:val="21"/>
                    </w:rPr>
                  </w:pPr>
                  <w:r>
                    <w:rPr>
                      <w:rFonts w:cs="宋体" w:hint="eastAsia"/>
                      <w:szCs w:val="21"/>
                    </w:rPr>
                    <w:t>15,979,049</w:t>
                  </w:r>
                </w:p>
              </w:tc>
            </w:tr>
          </w:tbl>
          <w:p w:rsidR="006A7F38" w:rsidRDefault="006A7F38">
            <w:pPr>
              <w:rPr>
                <w:rFonts w:cs="宋体"/>
                <w:szCs w:val="21"/>
              </w:rPr>
            </w:pPr>
          </w:p>
        </w:tc>
      </w:tr>
      <w:tr w:rsidR="006A7F38">
        <w:trPr>
          <w:divId w:val="1255627665"/>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中国人民人寿保险股份有限公司－万能－个险万能</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12,171,781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490"/>
              <w:gridCol w:w="1490"/>
            </w:tblGrid>
            <w:tr w:rsidR="006A7F38">
              <w:tc>
                <w:tcPr>
                  <w:tcW w:w="2100" w:type="pct"/>
                  <w:vAlign w:val="center"/>
                  <w:hideMark/>
                </w:tcPr>
                <w:p w:rsidR="006A7F38" w:rsidRDefault="006A7F38">
                  <w:pPr>
                    <w:rPr>
                      <w:rFonts w:cs="宋体"/>
                      <w:szCs w:val="21"/>
                    </w:rPr>
                  </w:pPr>
                  <w:r>
                    <w:rPr>
                      <w:rFonts w:cs="宋体" w:hint="eastAsia"/>
                      <w:szCs w:val="21"/>
                    </w:rPr>
                    <w:t>人民币普通股</w:t>
                  </w:r>
                </w:p>
              </w:tc>
              <w:tc>
                <w:tcPr>
                  <w:tcW w:w="2100" w:type="pct"/>
                  <w:vAlign w:val="center"/>
                  <w:hideMark/>
                </w:tcPr>
                <w:p w:rsidR="006A7F38" w:rsidRDefault="006A7F38">
                  <w:pPr>
                    <w:jc w:val="right"/>
                    <w:rPr>
                      <w:rFonts w:cs="宋体"/>
                      <w:szCs w:val="21"/>
                    </w:rPr>
                  </w:pPr>
                  <w:r>
                    <w:rPr>
                      <w:rFonts w:cs="宋体" w:hint="eastAsia"/>
                      <w:szCs w:val="21"/>
                    </w:rPr>
                    <w:t>12,171,781</w:t>
                  </w:r>
                </w:p>
              </w:tc>
            </w:tr>
          </w:tbl>
          <w:p w:rsidR="006A7F38" w:rsidRDefault="006A7F38">
            <w:pPr>
              <w:rPr>
                <w:rFonts w:cs="宋体"/>
                <w:szCs w:val="21"/>
              </w:rPr>
            </w:pPr>
          </w:p>
        </w:tc>
      </w:tr>
      <w:tr w:rsidR="006A7F38">
        <w:trPr>
          <w:divId w:val="1255627665"/>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中国证券金融股份有限公司转融通担保</w:t>
            </w:r>
            <w:r>
              <w:rPr>
                <w:rFonts w:cs="宋体" w:hint="eastAsia"/>
                <w:szCs w:val="21"/>
              </w:rPr>
              <w:lastRenderedPageBreak/>
              <w:t>证券账户</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lastRenderedPageBreak/>
              <w:t>11,464,620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490"/>
              <w:gridCol w:w="1490"/>
            </w:tblGrid>
            <w:tr w:rsidR="006A7F38">
              <w:tc>
                <w:tcPr>
                  <w:tcW w:w="2100" w:type="pct"/>
                  <w:vAlign w:val="center"/>
                  <w:hideMark/>
                </w:tcPr>
                <w:p w:rsidR="006A7F38" w:rsidRDefault="006A7F38">
                  <w:pPr>
                    <w:rPr>
                      <w:rFonts w:cs="宋体"/>
                      <w:szCs w:val="21"/>
                    </w:rPr>
                  </w:pPr>
                  <w:r>
                    <w:rPr>
                      <w:rFonts w:cs="宋体" w:hint="eastAsia"/>
                      <w:szCs w:val="21"/>
                    </w:rPr>
                    <w:t>人民币普通股</w:t>
                  </w:r>
                </w:p>
              </w:tc>
              <w:tc>
                <w:tcPr>
                  <w:tcW w:w="2100" w:type="pct"/>
                  <w:vAlign w:val="center"/>
                  <w:hideMark/>
                </w:tcPr>
                <w:p w:rsidR="006A7F38" w:rsidRDefault="006A7F38">
                  <w:pPr>
                    <w:jc w:val="right"/>
                    <w:rPr>
                      <w:rFonts w:cs="宋体"/>
                      <w:szCs w:val="21"/>
                    </w:rPr>
                  </w:pPr>
                  <w:r>
                    <w:rPr>
                      <w:rFonts w:cs="宋体" w:hint="eastAsia"/>
                      <w:szCs w:val="21"/>
                    </w:rPr>
                    <w:t>11,464,620</w:t>
                  </w:r>
                </w:p>
              </w:tc>
            </w:tr>
          </w:tbl>
          <w:p w:rsidR="006A7F38" w:rsidRDefault="006A7F38">
            <w:pPr>
              <w:rPr>
                <w:rFonts w:cs="宋体"/>
                <w:szCs w:val="21"/>
              </w:rPr>
            </w:pPr>
          </w:p>
        </w:tc>
      </w:tr>
      <w:tr w:rsidR="006A7F38">
        <w:trPr>
          <w:divId w:val="1255627665"/>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lastRenderedPageBreak/>
              <w:t>中国银行股份有限公司－嘉实沪深300交易型开放式指数证券投资基金</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8,388,334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490"/>
              <w:gridCol w:w="1490"/>
            </w:tblGrid>
            <w:tr w:rsidR="006A7F38">
              <w:tc>
                <w:tcPr>
                  <w:tcW w:w="2100" w:type="pct"/>
                  <w:vAlign w:val="center"/>
                  <w:hideMark/>
                </w:tcPr>
                <w:p w:rsidR="006A7F38" w:rsidRDefault="006A7F38">
                  <w:pPr>
                    <w:rPr>
                      <w:rFonts w:cs="宋体"/>
                      <w:szCs w:val="21"/>
                    </w:rPr>
                  </w:pPr>
                  <w:r>
                    <w:rPr>
                      <w:rFonts w:cs="宋体" w:hint="eastAsia"/>
                      <w:szCs w:val="21"/>
                    </w:rPr>
                    <w:t>人民币普通股</w:t>
                  </w:r>
                </w:p>
              </w:tc>
              <w:tc>
                <w:tcPr>
                  <w:tcW w:w="2100" w:type="pct"/>
                  <w:vAlign w:val="center"/>
                  <w:hideMark/>
                </w:tcPr>
                <w:p w:rsidR="006A7F38" w:rsidRDefault="006A7F38">
                  <w:pPr>
                    <w:jc w:val="right"/>
                    <w:rPr>
                      <w:rFonts w:cs="宋体"/>
                      <w:szCs w:val="21"/>
                    </w:rPr>
                  </w:pPr>
                  <w:r>
                    <w:rPr>
                      <w:rFonts w:cs="宋体" w:hint="eastAsia"/>
                      <w:szCs w:val="21"/>
                    </w:rPr>
                    <w:t>8,388,334</w:t>
                  </w:r>
                </w:p>
              </w:tc>
            </w:tr>
          </w:tbl>
          <w:p w:rsidR="006A7F38" w:rsidRDefault="006A7F38">
            <w:pPr>
              <w:rPr>
                <w:rFonts w:cs="宋体"/>
                <w:szCs w:val="21"/>
              </w:rPr>
            </w:pPr>
          </w:p>
        </w:tc>
      </w:tr>
      <w:tr w:rsidR="006A7F38">
        <w:trPr>
          <w:divId w:val="1255627665"/>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szCs w:val="21"/>
              </w:rPr>
              <w:t>上述股东关联关系或一致行动的说明</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xml:space="preserve">公司未知上述股东之间是否存在关联关系或属于《上市公司收购管理办法》规定的一致性的。 </w:t>
            </w:r>
          </w:p>
        </w:tc>
      </w:tr>
    </w:tbl>
    <w:p w:rsidR="006A7F38" w:rsidRDefault="006A7F38">
      <w:pPr>
        <w:divId w:val="1255627665"/>
        <w:rPr>
          <w:rFonts w:cs="宋体"/>
          <w:szCs w:val="21"/>
        </w:rPr>
        <w:sectPr w:rsidR="006A7F38">
          <w:pgSz w:w="12240" w:h="15840"/>
          <w:pgMar w:top="1440" w:right="1800" w:bottom="1440" w:left="1800" w:header="720" w:footer="720" w:gutter="0"/>
          <w:cols w:space="720"/>
        </w:sectPr>
      </w:pPr>
    </w:p>
    <w:p w:rsidR="006A7F38" w:rsidRDefault="006A7F38">
      <w:pPr>
        <w:pStyle w:val="1"/>
        <w:divId w:val="1255627665"/>
        <w:rPr>
          <w:rFonts w:cs="宋体"/>
          <w:szCs w:val="48"/>
        </w:rPr>
      </w:pPr>
      <w:bookmarkStart w:id="2" w:name="_Toc369878450"/>
      <w:r>
        <w:rPr>
          <w:rFonts w:hAnsi="Times New Roman" w:hint="eastAsia"/>
        </w:rPr>
        <w:lastRenderedPageBreak/>
        <w:t xml:space="preserve">三、 </w:t>
      </w:r>
      <w:r>
        <w:rPr>
          <w:rFonts w:hint="eastAsia"/>
        </w:rPr>
        <w:t xml:space="preserve"> 重要事项</w:t>
      </w:r>
      <w:bookmarkEnd w:id="2"/>
    </w:p>
    <w:p w:rsidR="006A7F38" w:rsidRDefault="006A7F38">
      <w:pPr>
        <w:divId w:val="1255627665"/>
        <w:rPr>
          <w:rFonts w:cs="宋体"/>
          <w:szCs w:val="21"/>
        </w:rPr>
      </w:pPr>
      <w:r>
        <w:rPr>
          <w:rFonts w:cs="宋体" w:hint="eastAsia"/>
          <w:szCs w:val="21"/>
        </w:rPr>
        <w:t>3.1  公司主要会计报表项目、财务指标重大变动的情况及原因</w:t>
      </w:r>
    </w:p>
    <w:p w:rsidR="00692A4A" w:rsidRDefault="006A7F38">
      <w:pPr>
        <w:divId w:val="1255627665"/>
        <w:rPr>
          <w:rFonts w:hAnsi="Times New Roman"/>
          <w:szCs w:val="18"/>
        </w:rPr>
      </w:pPr>
      <w:r>
        <w:rPr>
          <w:rFonts w:hint="eastAsia"/>
        </w:rPr>
        <w:t>√适用 □不适用</w:t>
      </w:r>
    </w:p>
    <w:tbl>
      <w:tblPr>
        <w:tblW w:w="0" w:type="auto"/>
        <w:tblCellSpacing w:w="0" w:type="dxa"/>
        <w:tblInd w:w="10" w:type="dxa"/>
        <w:tblCellMar>
          <w:left w:w="0" w:type="dxa"/>
          <w:right w:w="0" w:type="dxa"/>
        </w:tblCellMar>
        <w:tblLook w:val="04A0"/>
      </w:tblPr>
      <w:tblGrid>
        <w:gridCol w:w="2959"/>
        <w:gridCol w:w="1654"/>
        <w:gridCol w:w="4037"/>
      </w:tblGrid>
      <w:tr w:rsidR="009115A5" w:rsidTr="000A0F0C">
        <w:trPr>
          <w:divId w:val="1255627665"/>
          <w:trHeight w:val="590"/>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115A5" w:rsidRDefault="009115A5">
            <w:pPr>
              <w:rPr>
                <w:rFonts w:cs="宋体"/>
                <w:szCs w:val="21"/>
              </w:rPr>
            </w:pPr>
            <w:r>
              <w:rPr>
                <w:rFonts w:cs="宋体" w:hint="eastAsia"/>
                <w:szCs w:val="21"/>
              </w:rPr>
              <w:t>项目</w:t>
            </w:r>
          </w:p>
        </w:tc>
        <w:tc>
          <w:tcPr>
            <w:tcW w:w="0" w:type="auto"/>
            <w:tcBorders>
              <w:top w:val="single" w:sz="4" w:space="0" w:color="auto"/>
              <w:left w:val="single" w:sz="4" w:space="0" w:color="auto"/>
              <w:right w:val="single" w:sz="4" w:space="0" w:color="auto"/>
            </w:tcBorders>
            <w:vAlign w:val="center"/>
            <w:hideMark/>
          </w:tcPr>
          <w:p w:rsidR="009115A5" w:rsidRDefault="009115A5">
            <w:pPr>
              <w:rPr>
                <w:rFonts w:cs="宋体"/>
                <w:szCs w:val="21"/>
              </w:rPr>
            </w:pPr>
            <w:r>
              <w:rPr>
                <w:rFonts w:cs="宋体" w:hint="eastAsia"/>
                <w:szCs w:val="21"/>
              </w:rPr>
              <w:t>较期初数</w:t>
            </w:r>
          </w:p>
          <w:p w:rsidR="009115A5" w:rsidRDefault="009115A5" w:rsidP="00BD222C">
            <w:pPr>
              <w:rPr>
                <w:rFonts w:cs="宋体"/>
                <w:szCs w:val="21"/>
              </w:rPr>
            </w:pPr>
            <w:r>
              <w:rPr>
                <w:rFonts w:cs="宋体" w:hint="eastAsia"/>
                <w:szCs w:val="21"/>
              </w:rPr>
              <w:t>变动（％）</w:t>
            </w:r>
          </w:p>
        </w:tc>
        <w:tc>
          <w:tcPr>
            <w:tcW w:w="0" w:type="auto"/>
            <w:tcBorders>
              <w:top w:val="single" w:sz="4" w:space="0" w:color="auto"/>
              <w:left w:val="single" w:sz="4" w:space="0" w:color="auto"/>
              <w:bottom w:val="single" w:sz="4" w:space="0" w:color="auto"/>
              <w:right w:val="single" w:sz="4" w:space="0" w:color="auto"/>
            </w:tcBorders>
            <w:vAlign w:val="center"/>
            <w:hideMark/>
          </w:tcPr>
          <w:p w:rsidR="009115A5" w:rsidRDefault="009115A5">
            <w:pPr>
              <w:rPr>
                <w:rFonts w:cs="宋体"/>
                <w:szCs w:val="21"/>
              </w:rPr>
            </w:pPr>
            <w:r>
              <w:rPr>
                <w:rFonts w:cs="宋体" w:hint="eastAsia"/>
                <w:szCs w:val="21"/>
              </w:rPr>
              <w:t>主要原因</w:t>
            </w:r>
          </w:p>
        </w:tc>
      </w:tr>
      <w:tr w:rsidR="006A7F38" w:rsidTr="000A0F0C">
        <w:trPr>
          <w:divId w:val="12556276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应收票据</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jc w:val="right"/>
              <w:rPr>
                <w:rFonts w:cs="宋体"/>
                <w:szCs w:val="21"/>
              </w:rPr>
            </w:pPr>
            <w:r>
              <w:rPr>
                <w:rFonts w:cs="宋体" w:hint="eastAsia"/>
                <w:szCs w:val="21"/>
              </w:rPr>
              <w:t xml:space="preserve">118.60 </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本期销售货物收到的银行承兑汇票增加所致</w:t>
            </w:r>
          </w:p>
        </w:tc>
      </w:tr>
      <w:tr w:rsidR="006A7F38" w:rsidTr="000A0F0C">
        <w:trPr>
          <w:divId w:val="12556276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预付款项</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jc w:val="right"/>
              <w:rPr>
                <w:rFonts w:cs="宋体"/>
                <w:szCs w:val="21"/>
              </w:rPr>
            </w:pPr>
            <w:r>
              <w:rPr>
                <w:rFonts w:cs="宋体" w:hint="eastAsia"/>
                <w:szCs w:val="21"/>
              </w:rPr>
              <w:t xml:space="preserve">65.56 </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本期企业对外预付工程建设款增加所致</w:t>
            </w:r>
          </w:p>
        </w:tc>
      </w:tr>
      <w:tr w:rsidR="006A7F38" w:rsidTr="000A0F0C">
        <w:trPr>
          <w:divId w:val="12556276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其他应收款</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jc w:val="right"/>
              <w:rPr>
                <w:rFonts w:cs="宋体"/>
                <w:szCs w:val="21"/>
              </w:rPr>
            </w:pPr>
            <w:r>
              <w:rPr>
                <w:rFonts w:cs="宋体" w:hint="eastAsia"/>
                <w:szCs w:val="21"/>
              </w:rPr>
              <w:t xml:space="preserve">103.20 </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本期与往来单位款项增加所致</w:t>
            </w:r>
          </w:p>
        </w:tc>
      </w:tr>
      <w:tr w:rsidR="006A7F38" w:rsidTr="000A0F0C">
        <w:trPr>
          <w:divId w:val="12556276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在建工程</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jc w:val="right"/>
              <w:rPr>
                <w:rFonts w:cs="宋体"/>
                <w:szCs w:val="21"/>
              </w:rPr>
            </w:pPr>
            <w:r>
              <w:rPr>
                <w:rFonts w:cs="宋体" w:hint="eastAsia"/>
                <w:szCs w:val="21"/>
              </w:rPr>
              <w:t xml:space="preserve">85.27 </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本期工程项目增加所致</w:t>
            </w:r>
          </w:p>
        </w:tc>
      </w:tr>
      <w:tr w:rsidR="006A7F38" w:rsidTr="000A0F0C">
        <w:trPr>
          <w:divId w:val="12556276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应交税费</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jc w:val="right"/>
              <w:rPr>
                <w:rFonts w:cs="宋体"/>
                <w:szCs w:val="21"/>
              </w:rPr>
            </w:pPr>
            <w:r>
              <w:rPr>
                <w:rFonts w:cs="宋体" w:hint="eastAsia"/>
                <w:szCs w:val="21"/>
              </w:rPr>
              <w:t xml:space="preserve">-49.61 </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本期企业上缴所得税增加，导致应交税费余额减少</w:t>
            </w:r>
            <w:r w:rsidR="00126973">
              <w:rPr>
                <w:rFonts w:cs="宋体" w:hint="eastAsia"/>
                <w:szCs w:val="21"/>
              </w:rPr>
              <w:t>所致</w:t>
            </w:r>
          </w:p>
        </w:tc>
      </w:tr>
      <w:tr w:rsidR="006A7F38" w:rsidTr="000A0F0C">
        <w:trPr>
          <w:divId w:val="12556276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应付利息</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jc w:val="right"/>
              <w:rPr>
                <w:rFonts w:cs="宋体"/>
                <w:szCs w:val="21"/>
              </w:rPr>
            </w:pPr>
            <w:r>
              <w:rPr>
                <w:rFonts w:cs="宋体" w:hint="eastAsia"/>
                <w:szCs w:val="21"/>
              </w:rPr>
              <w:t xml:space="preserve">-51.12 </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本期偿还上期欠付中期票据利息，导致应付利息余额减少</w:t>
            </w:r>
          </w:p>
        </w:tc>
      </w:tr>
      <w:tr w:rsidR="006A7F38" w:rsidTr="000A0F0C">
        <w:trPr>
          <w:divId w:val="12556276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应付股利</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jc w:val="right"/>
              <w:rPr>
                <w:rFonts w:cs="宋体"/>
                <w:szCs w:val="21"/>
              </w:rPr>
            </w:pPr>
            <w:r>
              <w:rPr>
                <w:rFonts w:cs="宋体" w:hint="eastAsia"/>
                <w:szCs w:val="21"/>
              </w:rPr>
              <w:t xml:space="preserve">252.12 </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本期尚未支付大股东股利</w:t>
            </w:r>
          </w:p>
        </w:tc>
      </w:tr>
      <w:tr w:rsidR="006A7F38" w:rsidTr="000A0F0C">
        <w:trPr>
          <w:divId w:val="12556276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一年内到期的非流动负债</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jc w:val="right"/>
              <w:rPr>
                <w:rFonts w:cs="宋体"/>
                <w:szCs w:val="21"/>
              </w:rPr>
            </w:pPr>
            <w:r>
              <w:rPr>
                <w:rFonts w:cs="宋体" w:hint="eastAsia"/>
                <w:szCs w:val="21"/>
              </w:rPr>
              <w:t xml:space="preserve">873.83 </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应付债券将于一年内到期，故将其转入一年内到期的非流动负债核算所致</w:t>
            </w:r>
          </w:p>
        </w:tc>
      </w:tr>
      <w:tr w:rsidR="006A7F38" w:rsidTr="000A0F0C">
        <w:trPr>
          <w:divId w:val="12556276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长期借款</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jc w:val="right"/>
              <w:rPr>
                <w:rFonts w:cs="宋体"/>
                <w:szCs w:val="21"/>
              </w:rPr>
            </w:pPr>
            <w:r>
              <w:rPr>
                <w:rFonts w:cs="宋体" w:hint="eastAsia"/>
                <w:szCs w:val="21"/>
              </w:rPr>
              <w:t xml:space="preserve">207.81 </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本期向银行融资贷款增加所致</w:t>
            </w:r>
          </w:p>
        </w:tc>
      </w:tr>
      <w:tr w:rsidR="006A7F38" w:rsidTr="000A0F0C">
        <w:trPr>
          <w:divId w:val="12556276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应付债券</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jc w:val="right"/>
              <w:rPr>
                <w:rFonts w:cs="宋体"/>
                <w:szCs w:val="21"/>
              </w:rPr>
            </w:pPr>
            <w:r>
              <w:rPr>
                <w:rFonts w:cs="宋体" w:hint="eastAsia"/>
                <w:szCs w:val="21"/>
              </w:rPr>
              <w:t xml:space="preserve">-100.00 </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应付债券将于一年内到期，故将其转入一年内到期的非流动负债核算所致</w:t>
            </w:r>
          </w:p>
        </w:tc>
      </w:tr>
      <w:tr w:rsidR="009115A5" w:rsidTr="000A0F0C">
        <w:trPr>
          <w:divId w:val="12556276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115A5" w:rsidRDefault="009115A5">
            <w:pPr>
              <w:rPr>
                <w:rFonts w:cs="宋体"/>
                <w:szCs w:val="21"/>
              </w:rPr>
            </w:pPr>
            <w:r>
              <w:rPr>
                <w:rFonts w:cs="宋体" w:hint="eastAsia"/>
                <w:szCs w:val="21"/>
              </w:rPr>
              <w:t>项目</w:t>
            </w:r>
          </w:p>
        </w:tc>
        <w:tc>
          <w:tcPr>
            <w:tcW w:w="0" w:type="auto"/>
            <w:tcBorders>
              <w:top w:val="single" w:sz="4" w:space="0" w:color="auto"/>
              <w:left w:val="single" w:sz="4" w:space="0" w:color="auto"/>
              <w:right w:val="single" w:sz="4" w:space="0" w:color="auto"/>
            </w:tcBorders>
            <w:vAlign w:val="center"/>
            <w:hideMark/>
          </w:tcPr>
          <w:p w:rsidR="009115A5" w:rsidRDefault="009115A5" w:rsidP="00BD222C">
            <w:pPr>
              <w:rPr>
                <w:rFonts w:cs="宋体"/>
                <w:szCs w:val="21"/>
              </w:rPr>
            </w:pPr>
            <w:r>
              <w:rPr>
                <w:rFonts w:cs="宋体" w:hint="eastAsia"/>
                <w:szCs w:val="21"/>
              </w:rPr>
              <w:t>较上年</w:t>
            </w:r>
            <w:r w:rsidR="001367D0" w:rsidRPr="001367D0">
              <w:rPr>
                <w:rFonts w:cs="宋体" w:hint="eastAsia"/>
                <w:szCs w:val="21"/>
              </w:rPr>
              <w:t>1-9月</w:t>
            </w:r>
            <w:r>
              <w:rPr>
                <w:rFonts w:cs="宋体" w:hint="eastAsia"/>
                <w:szCs w:val="21"/>
              </w:rPr>
              <w:t>变动（％）</w:t>
            </w:r>
          </w:p>
        </w:tc>
        <w:tc>
          <w:tcPr>
            <w:tcW w:w="0" w:type="auto"/>
            <w:tcBorders>
              <w:top w:val="single" w:sz="4" w:space="0" w:color="auto"/>
              <w:left w:val="single" w:sz="4" w:space="0" w:color="auto"/>
              <w:bottom w:val="single" w:sz="4" w:space="0" w:color="auto"/>
              <w:right w:val="single" w:sz="4" w:space="0" w:color="auto"/>
            </w:tcBorders>
            <w:vAlign w:val="center"/>
            <w:hideMark/>
          </w:tcPr>
          <w:p w:rsidR="009115A5" w:rsidRDefault="009115A5">
            <w:pPr>
              <w:rPr>
                <w:rFonts w:cs="宋体"/>
                <w:szCs w:val="21"/>
              </w:rPr>
            </w:pPr>
            <w:r>
              <w:rPr>
                <w:rFonts w:cs="宋体" w:hint="eastAsia"/>
                <w:szCs w:val="21"/>
              </w:rPr>
              <w:t>主要原因</w:t>
            </w:r>
          </w:p>
        </w:tc>
      </w:tr>
      <w:tr w:rsidR="006A7F38" w:rsidTr="000A0F0C">
        <w:trPr>
          <w:divId w:val="12556276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财务费用</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jc w:val="right"/>
              <w:rPr>
                <w:rFonts w:cs="宋体"/>
                <w:szCs w:val="21"/>
              </w:rPr>
            </w:pPr>
            <w:r>
              <w:rPr>
                <w:rFonts w:cs="宋体" w:hint="eastAsia"/>
                <w:szCs w:val="21"/>
              </w:rPr>
              <w:t xml:space="preserve">-36.32 </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D328CD">
            <w:pPr>
              <w:rPr>
                <w:rFonts w:cs="宋体"/>
                <w:szCs w:val="21"/>
              </w:rPr>
            </w:pPr>
            <w:r>
              <w:rPr>
                <w:rFonts w:cs="宋体" w:hint="eastAsia"/>
                <w:szCs w:val="21"/>
              </w:rPr>
              <w:t>平均贷款额度减少</w:t>
            </w:r>
            <w:r w:rsidR="006A7F38">
              <w:rPr>
                <w:rFonts w:cs="宋体" w:hint="eastAsia"/>
                <w:szCs w:val="21"/>
              </w:rPr>
              <w:t>，导致本期借款利息减少所致</w:t>
            </w:r>
          </w:p>
        </w:tc>
      </w:tr>
      <w:tr w:rsidR="00B52BD3" w:rsidTr="000A0F0C">
        <w:trPr>
          <w:divId w:val="12556276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52BD3" w:rsidRDefault="00B52BD3">
            <w:pPr>
              <w:rPr>
                <w:rFonts w:cs="宋体"/>
                <w:szCs w:val="21"/>
              </w:rPr>
            </w:pPr>
            <w:r w:rsidRPr="00B52BD3">
              <w:rPr>
                <w:rFonts w:cs="宋体" w:hint="eastAsia"/>
                <w:szCs w:val="21"/>
              </w:rPr>
              <w:t>净利润</w:t>
            </w:r>
          </w:p>
        </w:tc>
        <w:tc>
          <w:tcPr>
            <w:tcW w:w="0" w:type="auto"/>
            <w:tcBorders>
              <w:top w:val="single" w:sz="4" w:space="0" w:color="auto"/>
              <w:left w:val="single" w:sz="4" w:space="0" w:color="auto"/>
              <w:bottom w:val="single" w:sz="4" w:space="0" w:color="auto"/>
              <w:right w:val="single" w:sz="4" w:space="0" w:color="auto"/>
            </w:tcBorders>
            <w:vAlign w:val="center"/>
            <w:hideMark/>
          </w:tcPr>
          <w:p w:rsidR="00B52BD3" w:rsidRPr="00B52BD3" w:rsidRDefault="00B52BD3" w:rsidP="00B52BD3">
            <w:pPr>
              <w:jc w:val="right"/>
              <w:rPr>
                <w:rFonts w:cs="宋体"/>
                <w:szCs w:val="21"/>
              </w:rPr>
            </w:pPr>
            <w:r w:rsidRPr="00B52BD3">
              <w:rPr>
                <w:rFonts w:cs="宋体"/>
                <w:szCs w:val="21"/>
              </w:rPr>
              <w:t xml:space="preserve">-39.49 </w:t>
            </w:r>
          </w:p>
          <w:p w:rsidR="00B52BD3" w:rsidRDefault="00B52BD3">
            <w:pPr>
              <w:jc w:val="right"/>
              <w:rPr>
                <w:rFonts w:cs="宋体"/>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52BD3" w:rsidRDefault="00B52BD3" w:rsidP="00BD222C">
            <w:pPr>
              <w:rPr>
                <w:rFonts w:cs="宋体"/>
                <w:szCs w:val="21"/>
              </w:rPr>
            </w:pPr>
            <w:r w:rsidRPr="00B52BD3">
              <w:rPr>
                <w:rFonts w:cs="宋体" w:hint="eastAsia"/>
                <w:szCs w:val="21"/>
              </w:rPr>
              <w:t>本期</w:t>
            </w:r>
            <w:r w:rsidR="00BD222C">
              <w:rPr>
                <w:rFonts w:cs="宋体" w:hint="eastAsia"/>
                <w:szCs w:val="21"/>
              </w:rPr>
              <w:t>黄金及副产品价格</w:t>
            </w:r>
            <w:r w:rsidRPr="00B52BD3">
              <w:rPr>
                <w:rFonts w:cs="宋体" w:hint="eastAsia"/>
                <w:szCs w:val="21"/>
              </w:rPr>
              <w:t>下跌所致</w:t>
            </w:r>
          </w:p>
        </w:tc>
      </w:tr>
      <w:tr w:rsidR="009115A5" w:rsidTr="000A0F0C">
        <w:trPr>
          <w:divId w:val="12556276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115A5" w:rsidRDefault="009115A5">
            <w:pPr>
              <w:rPr>
                <w:rFonts w:cs="宋体"/>
                <w:szCs w:val="21"/>
              </w:rPr>
            </w:pPr>
            <w:r>
              <w:rPr>
                <w:rFonts w:cs="宋体" w:hint="eastAsia"/>
                <w:szCs w:val="21"/>
              </w:rPr>
              <w:t>项目</w:t>
            </w:r>
          </w:p>
        </w:tc>
        <w:tc>
          <w:tcPr>
            <w:tcW w:w="0" w:type="auto"/>
            <w:tcBorders>
              <w:top w:val="single" w:sz="4" w:space="0" w:color="auto"/>
              <w:left w:val="single" w:sz="4" w:space="0" w:color="auto"/>
              <w:right w:val="single" w:sz="4" w:space="0" w:color="auto"/>
            </w:tcBorders>
            <w:vAlign w:val="center"/>
            <w:hideMark/>
          </w:tcPr>
          <w:p w:rsidR="009115A5" w:rsidRDefault="001367D0" w:rsidP="00BD222C">
            <w:pPr>
              <w:rPr>
                <w:rFonts w:cs="宋体"/>
                <w:szCs w:val="21"/>
              </w:rPr>
            </w:pPr>
            <w:r>
              <w:rPr>
                <w:rFonts w:cs="宋体" w:hint="eastAsia"/>
                <w:szCs w:val="21"/>
              </w:rPr>
              <w:t>较上年</w:t>
            </w:r>
            <w:r w:rsidRPr="001367D0">
              <w:rPr>
                <w:rFonts w:cs="宋体" w:hint="eastAsia"/>
                <w:szCs w:val="21"/>
              </w:rPr>
              <w:t>1-9月</w:t>
            </w:r>
            <w:r>
              <w:rPr>
                <w:rFonts w:cs="宋体" w:hint="eastAsia"/>
                <w:szCs w:val="21"/>
              </w:rPr>
              <w:t>变动（％）</w:t>
            </w:r>
          </w:p>
        </w:tc>
        <w:tc>
          <w:tcPr>
            <w:tcW w:w="0" w:type="auto"/>
            <w:tcBorders>
              <w:top w:val="single" w:sz="4" w:space="0" w:color="auto"/>
              <w:left w:val="single" w:sz="4" w:space="0" w:color="auto"/>
              <w:bottom w:val="single" w:sz="4" w:space="0" w:color="auto"/>
              <w:right w:val="single" w:sz="4" w:space="0" w:color="auto"/>
            </w:tcBorders>
            <w:vAlign w:val="center"/>
            <w:hideMark/>
          </w:tcPr>
          <w:p w:rsidR="009115A5" w:rsidRDefault="009115A5">
            <w:pPr>
              <w:rPr>
                <w:rFonts w:cs="宋体"/>
                <w:szCs w:val="21"/>
              </w:rPr>
            </w:pPr>
            <w:r>
              <w:rPr>
                <w:rFonts w:cs="宋体" w:hint="eastAsia"/>
                <w:szCs w:val="21"/>
              </w:rPr>
              <w:t>主要原因</w:t>
            </w:r>
          </w:p>
        </w:tc>
      </w:tr>
      <w:tr w:rsidR="006A7F38" w:rsidTr="000A0F0C">
        <w:trPr>
          <w:divId w:val="12556276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支付的其他与经营活动有关的现金</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jc w:val="right"/>
              <w:rPr>
                <w:rFonts w:cs="宋体"/>
                <w:szCs w:val="21"/>
              </w:rPr>
            </w:pPr>
            <w:r>
              <w:rPr>
                <w:rFonts w:cs="宋体" w:hint="eastAsia"/>
                <w:szCs w:val="21"/>
              </w:rPr>
              <w:t xml:space="preserve">-39.14 </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126973">
            <w:pPr>
              <w:rPr>
                <w:rFonts w:cs="宋体"/>
                <w:szCs w:val="21"/>
              </w:rPr>
            </w:pPr>
            <w:r>
              <w:rPr>
                <w:rFonts w:cs="宋体" w:hint="eastAsia"/>
                <w:szCs w:val="21"/>
              </w:rPr>
              <w:t>本期黄金代理业务支付现金较去年同期</w:t>
            </w:r>
            <w:r w:rsidR="006A7F38">
              <w:rPr>
                <w:rFonts w:cs="宋体" w:hint="eastAsia"/>
                <w:szCs w:val="21"/>
              </w:rPr>
              <w:t>减少</w:t>
            </w:r>
          </w:p>
        </w:tc>
      </w:tr>
      <w:tr w:rsidR="00B52BD3" w:rsidTr="000A0F0C">
        <w:trPr>
          <w:divId w:val="12556276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52BD3" w:rsidRPr="00B52BD3" w:rsidRDefault="00B52BD3">
            <w:pPr>
              <w:rPr>
                <w:rFonts w:cs="宋体"/>
                <w:szCs w:val="21"/>
              </w:rPr>
            </w:pPr>
            <w:r w:rsidRPr="00B52BD3">
              <w:rPr>
                <w:rFonts w:cs="宋体" w:hint="eastAsia"/>
                <w:szCs w:val="21"/>
              </w:rPr>
              <w:t>经营活动产生的现金流量净额</w:t>
            </w:r>
          </w:p>
        </w:tc>
        <w:tc>
          <w:tcPr>
            <w:tcW w:w="0" w:type="auto"/>
            <w:tcBorders>
              <w:top w:val="single" w:sz="4" w:space="0" w:color="auto"/>
              <w:left w:val="single" w:sz="4" w:space="0" w:color="auto"/>
              <w:bottom w:val="single" w:sz="4" w:space="0" w:color="auto"/>
              <w:right w:val="single" w:sz="4" w:space="0" w:color="auto"/>
            </w:tcBorders>
            <w:vAlign w:val="center"/>
            <w:hideMark/>
          </w:tcPr>
          <w:p w:rsidR="00B52BD3" w:rsidRPr="00B52BD3" w:rsidRDefault="00B52BD3" w:rsidP="00B52BD3">
            <w:pPr>
              <w:jc w:val="right"/>
              <w:rPr>
                <w:rFonts w:cs="宋体"/>
                <w:szCs w:val="21"/>
              </w:rPr>
            </w:pPr>
            <w:r w:rsidRPr="00B52BD3">
              <w:rPr>
                <w:rFonts w:cs="宋体"/>
                <w:szCs w:val="21"/>
              </w:rPr>
              <w:t xml:space="preserve">-72.89 </w:t>
            </w:r>
          </w:p>
          <w:p w:rsidR="00B52BD3" w:rsidRDefault="00B52BD3">
            <w:pPr>
              <w:jc w:val="right"/>
              <w:rPr>
                <w:rFonts w:cs="宋体"/>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52BD3" w:rsidRDefault="00BD222C">
            <w:pPr>
              <w:rPr>
                <w:rFonts w:cs="宋体"/>
                <w:szCs w:val="21"/>
              </w:rPr>
            </w:pPr>
            <w:r>
              <w:rPr>
                <w:rFonts w:cs="宋体" w:hint="eastAsia"/>
                <w:szCs w:val="21"/>
              </w:rPr>
              <w:t>本期黄金及副产品价格下跌使收入减少所致</w:t>
            </w:r>
          </w:p>
        </w:tc>
      </w:tr>
      <w:tr w:rsidR="006A7F38" w:rsidTr="000A0F0C">
        <w:trPr>
          <w:divId w:val="12556276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购建固定资产、无形资产和其他长期资产支付的现金</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jc w:val="right"/>
              <w:rPr>
                <w:rFonts w:cs="宋体"/>
                <w:szCs w:val="21"/>
              </w:rPr>
            </w:pPr>
            <w:r>
              <w:rPr>
                <w:rFonts w:cs="宋体" w:hint="eastAsia"/>
                <w:szCs w:val="21"/>
              </w:rPr>
              <w:t xml:space="preserve">93.87 </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rsidP="00B278CA">
            <w:pPr>
              <w:rPr>
                <w:rFonts w:cs="宋体"/>
                <w:szCs w:val="21"/>
              </w:rPr>
            </w:pPr>
            <w:r>
              <w:rPr>
                <w:rFonts w:cs="宋体" w:hint="eastAsia"/>
                <w:szCs w:val="21"/>
              </w:rPr>
              <w:t>本期购建固定资产项目增加所致</w:t>
            </w:r>
          </w:p>
        </w:tc>
      </w:tr>
      <w:tr w:rsidR="006A7F38" w:rsidTr="000A0F0C">
        <w:trPr>
          <w:divId w:val="12556276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取得子公司及其他营业单位支付的现金净额</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jc w:val="right"/>
              <w:rPr>
                <w:rFonts w:cs="宋体"/>
                <w:szCs w:val="21"/>
              </w:rPr>
            </w:pPr>
            <w:r>
              <w:rPr>
                <w:rFonts w:cs="宋体" w:hint="eastAsia"/>
                <w:szCs w:val="21"/>
              </w:rPr>
              <w:t xml:space="preserve">-100.00 </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本期未收购企业，上年同期有收购中国黄金集团公司子公司支付现金</w:t>
            </w:r>
          </w:p>
        </w:tc>
      </w:tr>
      <w:tr w:rsidR="00B52BD3" w:rsidTr="000A0F0C">
        <w:trPr>
          <w:divId w:val="12556276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52BD3" w:rsidRPr="00B52BD3" w:rsidRDefault="00B52BD3">
            <w:pPr>
              <w:rPr>
                <w:rFonts w:cs="宋体"/>
                <w:szCs w:val="21"/>
              </w:rPr>
            </w:pPr>
            <w:r w:rsidRPr="00B52BD3">
              <w:rPr>
                <w:rFonts w:cs="宋体" w:hint="eastAsia"/>
                <w:szCs w:val="21"/>
              </w:rPr>
              <w:t>投资活动产生的现金流量净额</w:t>
            </w:r>
          </w:p>
        </w:tc>
        <w:tc>
          <w:tcPr>
            <w:tcW w:w="0" w:type="auto"/>
            <w:tcBorders>
              <w:top w:val="single" w:sz="4" w:space="0" w:color="auto"/>
              <w:left w:val="single" w:sz="4" w:space="0" w:color="auto"/>
              <w:bottom w:val="single" w:sz="4" w:space="0" w:color="auto"/>
              <w:right w:val="single" w:sz="4" w:space="0" w:color="auto"/>
            </w:tcBorders>
            <w:vAlign w:val="center"/>
            <w:hideMark/>
          </w:tcPr>
          <w:p w:rsidR="00B52BD3" w:rsidRPr="00B52BD3" w:rsidRDefault="00B52BD3" w:rsidP="00B52BD3">
            <w:pPr>
              <w:jc w:val="right"/>
              <w:rPr>
                <w:rFonts w:cs="宋体"/>
                <w:szCs w:val="21"/>
              </w:rPr>
            </w:pPr>
            <w:r w:rsidRPr="00B52BD3">
              <w:rPr>
                <w:rFonts w:cs="宋体"/>
                <w:szCs w:val="21"/>
              </w:rPr>
              <w:t xml:space="preserve">55.83 </w:t>
            </w:r>
          </w:p>
          <w:p w:rsidR="00B52BD3" w:rsidRDefault="00B52BD3">
            <w:pPr>
              <w:jc w:val="right"/>
              <w:rPr>
                <w:rFonts w:cs="宋体"/>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52BD3" w:rsidRDefault="00B52BD3">
            <w:pPr>
              <w:rPr>
                <w:rFonts w:cs="宋体"/>
                <w:szCs w:val="21"/>
              </w:rPr>
            </w:pPr>
            <w:r w:rsidRPr="00B52BD3">
              <w:rPr>
                <w:rFonts w:cs="宋体" w:hint="eastAsia"/>
                <w:szCs w:val="21"/>
              </w:rPr>
              <w:t>本期建设项目增加所致</w:t>
            </w:r>
          </w:p>
        </w:tc>
      </w:tr>
      <w:tr w:rsidR="006A7F38" w:rsidTr="000A0F0C">
        <w:trPr>
          <w:divId w:val="12556276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吸收投资收到的现金</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jc w:val="right"/>
              <w:rPr>
                <w:rFonts w:cs="宋体"/>
                <w:szCs w:val="21"/>
              </w:rPr>
            </w:pPr>
            <w:r>
              <w:rPr>
                <w:rFonts w:cs="宋体" w:hint="eastAsia"/>
                <w:szCs w:val="21"/>
              </w:rPr>
              <w:t xml:space="preserve">-100.00 </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本期未吸收少数股东投资</w:t>
            </w:r>
          </w:p>
        </w:tc>
      </w:tr>
      <w:tr w:rsidR="006A7F38" w:rsidTr="000A0F0C">
        <w:trPr>
          <w:divId w:val="12556276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偿还债务支付的现金</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jc w:val="right"/>
              <w:rPr>
                <w:rFonts w:cs="宋体"/>
                <w:szCs w:val="21"/>
              </w:rPr>
            </w:pPr>
            <w:r>
              <w:rPr>
                <w:rFonts w:cs="宋体" w:hint="eastAsia"/>
                <w:szCs w:val="21"/>
              </w:rPr>
              <w:t xml:space="preserve">-30.67 </w:t>
            </w:r>
          </w:p>
        </w:tc>
        <w:tc>
          <w:tcPr>
            <w:tcW w:w="0" w:type="auto"/>
            <w:tcBorders>
              <w:top w:val="single" w:sz="4" w:space="0" w:color="auto"/>
              <w:left w:val="single" w:sz="4" w:space="0" w:color="auto"/>
              <w:bottom w:val="single" w:sz="4" w:space="0" w:color="auto"/>
              <w:right w:val="single" w:sz="4" w:space="0" w:color="auto"/>
            </w:tcBorders>
            <w:vAlign w:val="center"/>
            <w:hideMark/>
          </w:tcPr>
          <w:p w:rsidR="006A7F38" w:rsidRDefault="006A7F38">
            <w:pPr>
              <w:rPr>
                <w:rFonts w:cs="宋体"/>
                <w:szCs w:val="21"/>
              </w:rPr>
            </w:pPr>
            <w:r>
              <w:rPr>
                <w:rFonts w:cs="宋体" w:hint="eastAsia"/>
                <w:szCs w:val="21"/>
              </w:rPr>
              <w:t>本期偿还对外借款减少所致</w:t>
            </w:r>
          </w:p>
        </w:tc>
      </w:tr>
    </w:tbl>
    <w:p w:rsidR="006A7F38" w:rsidRDefault="006A7F38">
      <w:pPr>
        <w:divId w:val="1255627665"/>
        <w:rPr>
          <w:rFonts w:cs="宋体"/>
          <w:szCs w:val="21"/>
        </w:rPr>
      </w:pPr>
    </w:p>
    <w:p w:rsidR="006A7F38" w:rsidRDefault="006A7F38">
      <w:pPr>
        <w:divId w:val="1255627665"/>
        <w:rPr>
          <w:rFonts w:cs="宋体"/>
          <w:szCs w:val="21"/>
        </w:rPr>
      </w:pPr>
      <w:r>
        <w:rPr>
          <w:rFonts w:cs="宋体" w:hint="eastAsia"/>
          <w:szCs w:val="21"/>
        </w:rPr>
        <w:t>3.2  重要事项进展情况及其影响和解决方案的分析说明</w:t>
      </w:r>
    </w:p>
    <w:p w:rsidR="006A7F38" w:rsidRDefault="006A7F38">
      <w:pPr>
        <w:divId w:val="1255627665"/>
        <w:rPr>
          <w:rFonts w:hAnsi="Times New Roman"/>
          <w:szCs w:val="18"/>
        </w:rPr>
      </w:pPr>
      <w:r>
        <w:rPr>
          <w:rFonts w:hint="eastAsia"/>
        </w:rPr>
        <w:t>□适用 √不适用</w:t>
      </w:r>
    </w:p>
    <w:p w:rsidR="006A7F38" w:rsidRDefault="006A7F38">
      <w:pPr>
        <w:divId w:val="1255627665"/>
        <w:rPr>
          <w:rFonts w:cs="宋体"/>
          <w:szCs w:val="21"/>
        </w:rPr>
      </w:pPr>
    </w:p>
    <w:p w:rsidR="006A7F38" w:rsidRDefault="006A7F38">
      <w:pPr>
        <w:divId w:val="1255627665"/>
        <w:rPr>
          <w:rFonts w:cs="宋体"/>
          <w:szCs w:val="21"/>
        </w:rPr>
      </w:pPr>
      <w:r>
        <w:rPr>
          <w:rFonts w:cs="宋体" w:hint="eastAsia"/>
          <w:szCs w:val="21"/>
        </w:rPr>
        <w:t>3.3  公司及持股5%以上的股东承诺事项履行情况</w:t>
      </w:r>
    </w:p>
    <w:p w:rsidR="006A7F38" w:rsidRDefault="006A7F38">
      <w:pPr>
        <w:divId w:val="1255627665"/>
        <w:rPr>
          <w:rFonts w:hAnsi="Times New Roman"/>
          <w:szCs w:val="18"/>
        </w:rPr>
      </w:pPr>
      <w:r>
        <w:rPr>
          <w:rFonts w:hint="eastAsia"/>
        </w:rPr>
        <w:t>√适用 □不适用</w:t>
      </w:r>
    </w:p>
    <w:tbl>
      <w:tblPr>
        <w:tblW w:w="88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705"/>
        <w:gridCol w:w="705"/>
        <w:gridCol w:w="4680"/>
        <w:gridCol w:w="705"/>
        <w:gridCol w:w="705"/>
        <w:gridCol w:w="675"/>
      </w:tblGrid>
      <w:tr w:rsidR="006A7F38">
        <w:trPr>
          <w:divId w:val="1255627665"/>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6A7F38" w:rsidRDefault="006A7F38">
            <w:pPr>
              <w:rPr>
                <w:rFonts w:cs="宋体"/>
                <w:szCs w:val="21"/>
              </w:rPr>
            </w:pPr>
            <w:r>
              <w:rPr>
                <w:rFonts w:cs="宋体" w:hint="eastAsia"/>
                <w:szCs w:val="21"/>
              </w:rPr>
              <w:lastRenderedPageBreak/>
              <w:t>承诺背景</w:t>
            </w:r>
          </w:p>
        </w:tc>
        <w:tc>
          <w:tcPr>
            <w:tcW w:w="705" w:type="dxa"/>
            <w:tcBorders>
              <w:top w:val="outset" w:sz="6" w:space="0" w:color="auto"/>
              <w:left w:val="outset" w:sz="6" w:space="0" w:color="auto"/>
              <w:bottom w:val="outset" w:sz="6" w:space="0" w:color="auto"/>
              <w:right w:val="outset" w:sz="6" w:space="0" w:color="auto"/>
            </w:tcBorders>
            <w:hideMark/>
          </w:tcPr>
          <w:p w:rsidR="006A7F38" w:rsidRDefault="006A7F38">
            <w:pPr>
              <w:rPr>
                <w:rFonts w:cs="宋体"/>
                <w:szCs w:val="21"/>
              </w:rPr>
            </w:pPr>
            <w:r>
              <w:rPr>
                <w:rFonts w:cs="宋体" w:hint="eastAsia"/>
                <w:szCs w:val="21"/>
              </w:rPr>
              <w:t>承诺类型</w:t>
            </w:r>
          </w:p>
        </w:tc>
        <w:tc>
          <w:tcPr>
            <w:tcW w:w="705" w:type="dxa"/>
            <w:tcBorders>
              <w:top w:val="outset" w:sz="6" w:space="0" w:color="auto"/>
              <w:left w:val="outset" w:sz="6" w:space="0" w:color="auto"/>
              <w:bottom w:val="outset" w:sz="6" w:space="0" w:color="auto"/>
              <w:right w:val="outset" w:sz="6" w:space="0" w:color="auto"/>
            </w:tcBorders>
            <w:hideMark/>
          </w:tcPr>
          <w:p w:rsidR="006A7F38" w:rsidRDefault="006A7F38">
            <w:pPr>
              <w:rPr>
                <w:rFonts w:cs="宋体"/>
                <w:szCs w:val="21"/>
              </w:rPr>
            </w:pPr>
            <w:r>
              <w:rPr>
                <w:rFonts w:cs="宋体" w:hint="eastAsia"/>
                <w:szCs w:val="21"/>
              </w:rPr>
              <w:t>承诺方</w:t>
            </w:r>
          </w:p>
        </w:tc>
        <w:tc>
          <w:tcPr>
            <w:tcW w:w="4680" w:type="dxa"/>
            <w:tcBorders>
              <w:top w:val="outset" w:sz="6" w:space="0" w:color="auto"/>
              <w:left w:val="outset" w:sz="6" w:space="0" w:color="auto"/>
              <w:bottom w:val="outset" w:sz="6" w:space="0" w:color="auto"/>
              <w:right w:val="outset" w:sz="6" w:space="0" w:color="auto"/>
            </w:tcBorders>
            <w:hideMark/>
          </w:tcPr>
          <w:p w:rsidR="006A7F38" w:rsidRDefault="006A7F38">
            <w:pPr>
              <w:rPr>
                <w:rFonts w:cs="宋体"/>
                <w:szCs w:val="21"/>
              </w:rPr>
            </w:pPr>
            <w:r>
              <w:rPr>
                <w:rFonts w:cs="宋体" w:hint="eastAsia"/>
                <w:szCs w:val="21"/>
              </w:rPr>
              <w:t>承诺内容</w:t>
            </w:r>
          </w:p>
        </w:tc>
        <w:tc>
          <w:tcPr>
            <w:tcW w:w="705" w:type="dxa"/>
            <w:tcBorders>
              <w:top w:val="outset" w:sz="6" w:space="0" w:color="auto"/>
              <w:left w:val="outset" w:sz="6" w:space="0" w:color="auto"/>
              <w:bottom w:val="outset" w:sz="6" w:space="0" w:color="auto"/>
              <w:right w:val="outset" w:sz="6" w:space="0" w:color="auto"/>
            </w:tcBorders>
            <w:hideMark/>
          </w:tcPr>
          <w:p w:rsidR="006A7F38" w:rsidRDefault="006A7F38">
            <w:pPr>
              <w:rPr>
                <w:rFonts w:cs="宋体"/>
                <w:szCs w:val="21"/>
              </w:rPr>
            </w:pPr>
            <w:r>
              <w:rPr>
                <w:rFonts w:cs="宋体" w:hint="eastAsia"/>
                <w:szCs w:val="21"/>
              </w:rPr>
              <w:t>承诺时间及期限</w:t>
            </w:r>
          </w:p>
        </w:tc>
        <w:tc>
          <w:tcPr>
            <w:tcW w:w="705" w:type="dxa"/>
            <w:tcBorders>
              <w:top w:val="outset" w:sz="6" w:space="0" w:color="auto"/>
              <w:left w:val="outset" w:sz="6" w:space="0" w:color="auto"/>
              <w:bottom w:val="outset" w:sz="6" w:space="0" w:color="auto"/>
              <w:right w:val="outset" w:sz="6" w:space="0" w:color="auto"/>
            </w:tcBorders>
            <w:hideMark/>
          </w:tcPr>
          <w:p w:rsidR="006A7F38" w:rsidRDefault="006A7F38">
            <w:pPr>
              <w:rPr>
                <w:rFonts w:cs="宋体"/>
                <w:szCs w:val="21"/>
              </w:rPr>
            </w:pPr>
            <w:r>
              <w:rPr>
                <w:rFonts w:cs="宋体" w:hint="eastAsia"/>
                <w:szCs w:val="21"/>
              </w:rPr>
              <w:t>是否有履行期限</w:t>
            </w:r>
          </w:p>
        </w:tc>
        <w:tc>
          <w:tcPr>
            <w:tcW w:w="675" w:type="dxa"/>
            <w:tcBorders>
              <w:top w:val="outset" w:sz="6" w:space="0" w:color="auto"/>
              <w:left w:val="outset" w:sz="6" w:space="0" w:color="auto"/>
              <w:bottom w:val="outset" w:sz="6" w:space="0" w:color="auto"/>
              <w:right w:val="outset" w:sz="6" w:space="0" w:color="auto"/>
            </w:tcBorders>
            <w:hideMark/>
          </w:tcPr>
          <w:p w:rsidR="006A7F38" w:rsidRDefault="006A7F38">
            <w:pPr>
              <w:rPr>
                <w:rFonts w:cs="宋体"/>
                <w:szCs w:val="21"/>
              </w:rPr>
            </w:pPr>
            <w:r>
              <w:rPr>
                <w:rFonts w:cs="宋体" w:hint="eastAsia"/>
                <w:szCs w:val="21"/>
              </w:rPr>
              <w:t>是否及时严格履行</w:t>
            </w:r>
          </w:p>
        </w:tc>
      </w:tr>
      <w:tr w:rsidR="006A7F38">
        <w:trPr>
          <w:divId w:val="1255627665"/>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6A7F38" w:rsidRDefault="006A7F38">
            <w:pPr>
              <w:rPr>
                <w:rFonts w:cs="宋体"/>
                <w:szCs w:val="21"/>
              </w:rPr>
            </w:pPr>
            <w:r>
              <w:rPr>
                <w:rFonts w:cs="宋体" w:hint="eastAsia"/>
                <w:szCs w:val="21"/>
              </w:rPr>
              <w:t>与股改相关的承诺</w:t>
            </w:r>
          </w:p>
        </w:tc>
        <w:tc>
          <w:tcPr>
            <w:tcW w:w="705" w:type="dxa"/>
            <w:tcBorders>
              <w:top w:val="outset" w:sz="6" w:space="0" w:color="auto"/>
              <w:left w:val="outset" w:sz="6" w:space="0" w:color="auto"/>
              <w:bottom w:val="outset" w:sz="6" w:space="0" w:color="auto"/>
              <w:right w:val="outset" w:sz="6" w:space="0" w:color="auto"/>
            </w:tcBorders>
            <w:hideMark/>
          </w:tcPr>
          <w:p w:rsidR="006A7F38" w:rsidRDefault="006A7F38">
            <w:pPr>
              <w:rPr>
                <w:rFonts w:cs="宋体"/>
                <w:szCs w:val="21"/>
              </w:rPr>
            </w:pPr>
            <w:r>
              <w:rPr>
                <w:rFonts w:cs="宋体" w:hint="eastAsia"/>
                <w:szCs w:val="21"/>
              </w:rPr>
              <w:t>其他</w:t>
            </w:r>
          </w:p>
        </w:tc>
        <w:tc>
          <w:tcPr>
            <w:tcW w:w="705" w:type="dxa"/>
            <w:tcBorders>
              <w:top w:val="outset" w:sz="6" w:space="0" w:color="auto"/>
              <w:left w:val="outset" w:sz="6" w:space="0" w:color="auto"/>
              <w:bottom w:val="outset" w:sz="6" w:space="0" w:color="auto"/>
              <w:right w:val="outset" w:sz="6" w:space="0" w:color="auto"/>
            </w:tcBorders>
            <w:hideMark/>
          </w:tcPr>
          <w:p w:rsidR="006A7F38" w:rsidRDefault="006A7F38">
            <w:pPr>
              <w:rPr>
                <w:rFonts w:cs="宋体"/>
                <w:szCs w:val="21"/>
              </w:rPr>
            </w:pPr>
            <w:r>
              <w:rPr>
                <w:rFonts w:cs="宋体" w:hint="eastAsia"/>
                <w:szCs w:val="21"/>
              </w:rPr>
              <w:t>中国黄金集团公司</w:t>
            </w:r>
          </w:p>
        </w:tc>
        <w:tc>
          <w:tcPr>
            <w:tcW w:w="4680" w:type="dxa"/>
            <w:tcBorders>
              <w:top w:val="outset" w:sz="6" w:space="0" w:color="auto"/>
              <w:left w:val="outset" w:sz="6" w:space="0" w:color="auto"/>
              <w:bottom w:val="outset" w:sz="6" w:space="0" w:color="auto"/>
              <w:right w:val="outset" w:sz="6" w:space="0" w:color="auto"/>
            </w:tcBorders>
            <w:hideMark/>
          </w:tcPr>
          <w:p w:rsidR="006A7F38" w:rsidRDefault="006A7F38">
            <w:pPr>
              <w:rPr>
                <w:rFonts w:cs="宋体"/>
                <w:szCs w:val="21"/>
              </w:rPr>
            </w:pPr>
            <w:r>
              <w:rPr>
                <w:rFonts w:cs="宋体" w:hint="eastAsia"/>
                <w:szCs w:val="21"/>
              </w:rPr>
              <w:t>在国家相关政策法规出台后，中国黄金集团公司将支持中金黄金实施管理层股权激励计划。</w:t>
            </w:r>
          </w:p>
        </w:tc>
        <w:tc>
          <w:tcPr>
            <w:tcW w:w="705" w:type="dxa"/>
            <w:tcBorders>
              <w:top w:val="outset" w:sz="6" w:space="0" w:color="auto"/>
              <w:left w:val="outset" w:sz="6" w:space="0" w:color="auto"/>
              <w:bottom w:val="outset" w:sz="6" w:space="0" w:color="auto"/>
              <w:right w:val="outset" w:sz="6" w:space="0" w:color="auto"/>
            </w:tcBorders>
            <w:hideMark/>
          </w:tcPr>
          <w:p w:rsidR="006A7F38" w:rsidRDefault="006A7F38">
            <w:pPr>
              <w:rPr>
                <w:rFonts w:cs="宋体"/>
                <w:szCs w:val="21"/>
              </w:rPr>
            </w:pPr>
            <w:r>
              <w:rPr>
                <w:rFonts w:cs="宋体" w:hint="eastAsia"/>
                <w:szCs w:val="21"/>
              </w:rPr>
              <w:t> </w:t>
            </w:r>
          </w:p>
        </w:tc>
        <w:tc>
          <w:tcPr>
            <w:tcW w:w="705" w:type="dxa"/>
            <w:tcBorders>
              <w:top w:val="outset" w:sz="6" w:space="0" w:color="auto"/>
              <w:left w:val="outset" w:sz="6" w:space="0" w:color="auto"/>
              <w:bottom w:val="outset" w:sz="6" w:space="0" w:color="auto"/>
              <w:right w:val="outset" w:sz="6" w:space="0" w:color="auto"/>
            </w:tcBorders>
            <w:hideMark/>
          </w:tcPr>
          <w:p w:rsidR="006A7F38" w:rsidRDefault="006A7F38">
            <w:pPr>
              <w:rPr>
                <w:rFonts w:cs="宋体"/>
                <w:szCs w:val="21"/>
              </w:rPr>
            </w:pPr>
            <w:r>
              <w:rPr>
                <w:rFonts w:cs="宋体" w:hint="eastAsia"/>
                <w:szCs w:val="21"/>
              </w:rPr>
              <w:t>否</w:t>
            </w:r>
          </w:p>
        </w:tc>
        <w:tc>
          <w:tcPr>
            <w:tcW w:w="675" w:type="dxa"/>
            <w:tcBorders>
              <w:top w:val="outset" w:sz="6" w:space="0" w:color="auto"/>
              <w:left w:val="outset" w:sz="6" w:space="0" w:color="auto"/>
              <w:bottom w:val="outset" w:sz="6" w:space="0" w:color="auto"/>
              <w:right w:val="outset" w:sz="6" w:space="0" w:color="auto"/>
            </w:tcBorders>
            <w:hideMark/>
          </w:tcPr>
          <w:p w:rsidR="006A7F38" w:rsidRDefault="006A7F38">
            <w:pPr>
              <w:rPr>
                <w:rFonts w:cs="宋体"/>
                <w:szCs w:val="21"/>
              </w:rPr>
            </w:pPr>
            <w:r>
              <w:rPr>
                <w:rFonts w:cs="宋体" w:hint="eastAsia"/>
                <w:szCs w:val="21"/>
              </w:rPr>
              <w:t>是</w:t>
            </w:r>
          </w:p>
        </w:tc>
      </w:tr>
      <w:tr w:rsidR="006A7F38">
        <w:trPr>
          <w:divId w:val="1255627665"/>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6A7F38" w:rsidRDefault="006A7F38">
            <w:pPr>
              <w:rPr>
                <w:rFonts w:cs="宋体"/>
                <w:szCs w:val="21"/>
              </w:rPr>
            </w:pPr>
            <w:r>
              <w:rPr>
                <w:rFonts w:cs="宋体" w:hint="eastAsia"/>
                <w:szCs w:val="21"/>
              </w:rPr>
              <w:t>与再融资相关的承诺</w:t>
            </w:r>
          </w:p>
        </w:tc>
        <w:tc>
          <w:tcPr>
            <w:tcW w:w="705" w:type="dxa"/>
            <w:tcBorders>
              <w:top w:val="outset" w:sz="6" w:space="0" w:color="auto"/>
              <w:left w:val="outset" w:sz="6" w:space="0" w:color="auto"/>
              <w:bottom w:val="outset" w:sz="6" w:space="0" w:color="auto"/>
              <w:right w:val="outset" w:sz="6" w:space="0" w:color="auto"/>
            </w:tcBorders>
            <w:hideMark/>
          </w:tcPr>
          <w:p w:rsidR="006A7F38" w:rsidRDefault="006A7F38">
            <w:pPr>
              <w:rPr>
                <w:rFonts w:cs="宋体"/>
                <w:szCs w:val="21"/>
              </w:rPr>
            </w:pPr>
            <w:r>
              <w:rPr>
                <w:rFonts w:cs="宋体" w:hint="eastAsia"/>
                <w:szCs w:val="21"/>
              </w:rPr>
              <w:t>解决同业竞争</w:t>
            </w:r>
          </w:p>
        </w:tc>
        <w:tc>
          <w:tcPr>
            <w:tcW w:w="705" w:type="dxa"/>
            <w:tcBorders>
              <w:top w:val="outset" w:sz="6" w:space="0" w:color="auto"/>
              <w:left w:val="outset" w:sz="6" w:space="0" w:color="auto"/>
              <w:bottom w:val="outset" w:sz="6" w:space="0" w:color="auto"/>
              <w:right w:val="outset" w:sz="6" w:space="0" w:color="auto"/>
            </w:tcBorders>
            <w:hideMark/>
          </w:tcPr>
          <w:p w:rsidR="006A7F38" w:rsidRDefault="006A7F38">
            <w:pPr>
              <w:rPr>
                <w:rFonts w:cs="宋体"/>
                <w:szCs w:val="21"/>
              </w:rPr>
            </w:pPr>
            <w:r>
              <w:rPr>
                <w:rFonts w:cs="宋体" w:hint="eastAsia"/>
                <w:szCs w:val="21"/>
              </w:rPr>
              <w:t>中国黄金集团公司</w:t>
            </w:r>
          </w:p>
        </w:tc>
        <w:tc>
          <w:tcPr>
            <w:tcW w:w="4680" w:type="dxa"/>
            <w:tcBorders>
              <w:top w:val="outset" w:sz="6" w:space="0" w:color="auto"/>
              <w:left w:val="outset" w:sz="6" w:space="0" w:color="auto"/>
              <w:bottom w:val="outset" w:sz="6" w:space="0" w:color="auto"/>
              <w:right w:val="outset" w:sz="6" w:space="0" w:color="auto"/>
            </w:tcBorders>
            <w:hideMark/>
          </w:tcPr>
          <w:p w:rsidR="006A7F38" w:rsidRDefault="006A7F38">
            <w:pPr>
              <w:rPr>
                <w:rFonts w:cs="宋体"/>
                <w:szCs w:val="21"/>
              </w:rPr>
            </w:pPr>
            <w:r>
              <w:rPr>
                <w:rFonts w:cs="宋体" w:hint="eastAsia"/>
                <w:szCs w:val="21"/>
              </w:rPr>
              <w:t>黄金集团将继续恪守不竞争承诺，继续支持中金黄金的黄金业务的发展，将中金黄金作为今后境内黄金资源开发业务整合和发展的唯一平台。为进一步解决同业竞争问题，黄金集团特就进一步避免同业竞争相关事宜承诺如下：黄金集团已将下属企业的权属规范工作列为黄金集团2011 年的工作重点，全力推进相关工作的开展。黄金集团承诺用5 年左右时间促使现有正常生产的黄金矿业企业规范完善矿权、土地、房产等资产权属并转让给中金黄金，以逐步消除同业竞争，实现黄金主业的整体上市。</w:t>
            </w:r>
          </w:p>
        </w:tc>
        <w:tc>
          <w:tcPr>
            <w:tcW w:w="705" w:type="dxa"/>
            <w:tcBorders>
              <w:top w:val="outset" w:sz="6" w:space="0" w:color="auto"/>
              <w:left w:val="outset" w:sz="6" w:space="0" w:color="auto"/>
              <w:bottom w:val="outset" w:sz="6" w:space="0" w:color="auto"/>
              <w:right w:val="outset" w:sz="6" w:space="0" w:color="auto"/>
            </w:tcBorders>
            <w:hideMark/>
          </w:tcPr>
          <w:p w:rsidR="006A7F38" w:rsidRDefault="006A7F38">
            <w:pPr>
              <w:rPr>
                <w:rFonts w:cs="宋体"/>
                <w:szCs w:val="21"/>
              </w:rPr>
            </w:pPr>
            <w:r>
              <w:rPr>
                <w:rFonts w:cs="宋体" w:hint="eastAsia"/>
                <w:szCs w:val="21"/>
              </w:rPr>
              <w:t>2011年，期限5年</w:t>
            </w:r>
          </w:p>
        </w:tc>
        <w:tc>
          <w:tcPr>
            <w:tcW w:w="705" w:type="dxa"/>
            <w:tcBorders>
              <w:top w:val="outset" w:sz="6" w:space="0" w:color="auto"/>
              <w:left w:val="outset" w:sz="6" w:space="0" w:color="auto"/>
              <w:bottom w:val="outset" w:sz="6" w:space="0" w:color="auto"/>
              <w:right w:val="outset" w:sz="6" w:space="0" w:color="auto"/>
            </w:tcBorders>
            <w:hideMark/>
          </w:tcPr>
          <w:p w:rsidR="006A7F38" w:rsidRDefault="006A7F38">
            <w:pPr>
              <w:rPr>
                <w:rFonts w:cs="宋体"/>
                <w:szCs w:val="21"/>
              </w:rPr>
            </w:pPr>
            <w:r>
              <w:rPr>
                <w:rFonts w:cs="宋体" w:hint="eastAsia"/>
                <w:szCs w:val="21"/>
              </w:rPr>
              <w:t>是</w:t>
            </w:r>
          </w:p>
        </w:tc>
        <w:tc>
          <w:tcPr>
            <w:tcW w:w="675" w:type="dxa"/>
            <w:tcBorders>
              <w:top w:val="outset" w:sz="6" w:space="0" w:color="auto"/>
              <w:left w:val="outset" w:sz="6" w:space="0" w:color="auto"/>
              <w:bottom w:val="outset" w:sz="6" w:space="0" w:color="auto"/>
              <w:right w:val="outset" w:sz="6" w:space="0" w:color="auto"/>
            </w:tcBorders>
            <w:hideMark/>
          </w:tcPr>
          <w:p w:rsidR="006A7F38" w:rsidRDefault="006A7F38">
            <w:pPr>
              <w:rPr>
                <w:rFonts w:cs="宋体"/>
                <w:szCs w:val="21"/>
              </w:rPr>
            </w:pPr>
            <w:r>
              <w:rPr>
                <w:rFonts w:cs="宋体" w:hint="eastAsia"/>
                <w:szCs w:val="21"/>
              </w:rPr>
              <w:t>是</w:t>
            </w:r>
          </w:p>
        </w:tc>
      </w:tr>
    </w:tbl>
    <w:p w:rsidR="006A7F38" w:rsidRDefault="006A7F38">
      <w:pPr>
        <w:divId w:val="1255627665"/>
        <w:rPr>
          <w:rFonts w:cs="宋体"/>
          <w:szCs w:val="21"/>
        </w:rPr>
      </w:pPr>
    </w:p>
    <w:p w:rsidR="006A7F38" w:rsidRDefault="006A7F38">
      <w:pPr>
        <w:divId w:val="1255627665"/>
        <w:rPr>
          <w:rFonts w:cs="宋体"/>
          <w:szCs w:val="21"/>
        </w:rPr>
      </w:pPr>
      <w:r>
        <w:rPr>
          <w:rFonts w:cs="宋体" w:hint="eastAsia"/>
          <w:szCs w:val="21"/>
        </w:rPr>
        <w:t>3.4  预测年初至下一报告期期末的累计净利润可能为亏损或者与上年同期相比发生重大变动的警示及原因说明</w:t>
      </w:r>
    </w:p>
    <w:p w:rsidR="006A7F38" w:rsidRDefault="006A7F38">
      <w:pPr>
        <w:divId w:val="1255627665"/>
        <w:rPr>
          <w:rFonts w:hAnsi="Times New Roman"/>
          <w:szCs w:val="18"/>
        </w:rPr>
      </w:pPr>
      <w:r>
        <w:rPr>
          <w:rFonts w:hint="eastAsia"/>
        </w:rPr>
        <w:t>□适用 √不适用</w:t>
      </w:r>
    </w:p>
    <w:p w:rsidR="009115A5" w:rsidRDefault="009115A5" w:rsidP="009115A5">
      <w:pPr>
        <w:ind w:right="420"/>
        <w:jc w:val="center"/>
        <w:divId w:val="1255627665"/>
      </w:pPr>
      <w:r>
        <w:rPr>
          <w:rFonts w:hint="eastAsia"/>
        </w:rPr>
        <w:t xml:space="preserve"> </w:t>
      </w:r>
    </w:p>
    <w:p w:rsidR="009115A5" w:rsidRDefault="009115A5" w:rsidP="009115A5">
      <w:pPr>
        <w:ind w:right="420"/>
        <w:jc w:val="center"/>
        <w:divId w:val="1255627665"/>
      </w:pPr>
      <w:r>
        <w:rPr>
          <w:rFonts w:hint="eastAsia"/>
        </w:rPr>
        <w:t xml:space="preserve">     </w:t>
      </w:r>
    </w:p>
    <w:p w:rsidR="009115A5" w:rsidRDefault="009115A5" w:rsidP="009115A5">
      <w:pPr>
        <w:ind w:right="420"/>
        <w:jc w:val="center"/>
        <w:divId w:val="1255627665"/>
      </w:pPr>
      <w:r>
        <w:rPr>
          <w:rFonts w:hint="eastAsia"/>
        </w:rPr>
        <w:t xml:space="preserve">                  </w:t>
      </w:r>
    </w:p>
    <w:p w:rsidR="009115A5" w:rsidRDefault="009115A5" w:rsidP="00E9745A">
      <w:pPr>
        <w:ind w:right="420"/>
        <w:divId w:val="1255627665"/>
      </w:pPr>
    </w:p>
    <w:p w:rsidR="00E9745A" w:rsidRDefault="00E9745A" w:rsidP="00E9745A">
      <w:pPr>
        <w:ind w:right="420"/>
        <w:divId w:val="1255627665"/>
      </w:pPr>
    </w:p>
    <w:p w:rsidR="00E9745A" w:rsidRDefault="00E9745A" w:rsidP="00E9745A">
      <w:pPr>
        <w:ind w:right="420"/>
        <w:divId w:val="1255627665"/>
      </w:pPr>
    </w:p>
    <w:p w:rsidR="006A7F38" w:rsidRDefault="009115A5" w:rsidP="009115A5">
      <w:pPr>
        <w:ind w:right="420"/>
        <w:jc w:val="center"/>
        <w:divId w:val="1255627665"/>
        <w:rPr>
          <w:rFonts w:hAnsi="Times New Roman"/>
          <w:szCs w:val="18"/>
        </w:rPr>
      </w:pPr>
      <w:r>
        <w:rPr>
          <w:rFonts w:hint="eastAsia"/>
        </w:rPr>
        <w:t xml:space="preserve">               </w:t>
      </w:r>
      <w:r w:rsidR="00D8148E">
        <w:rPr>
          <w:rFonts w:hint="eastAsia"/>
        </w:rPr>
        <w:t xml:space="preserve">    </w:t>
      </w:r>
      <w:r>
        <w:rPr>
          <w:rFonts w:hint="eastAsia"/>
        </w:rPr>
        <w:t xml:space="preserve"> </w:t>
      </w:r>
      <w:r w:rsidR="00D8148E">
        <w:rPr>
          <w:rFonts w:hint="eastAsia"/>
        </w:rPr>
        <w:t xml:space="preserve">                     </w:t>
      </w:r>
      <w:r w:rsidR="006A7F38">
        <w:rPr>
          <w:rFonts w:hint="eastAsia"/>
        </w:rPr>
        <w:t>中金黄金股份有限公司</w:t>
      </w:r>
    </w:p>
    <w:p w:rsidR="006A7F38" w:rsidRDefault="009115A5" w:rsidP="009115A5">
      <w:pPr>
        <w:ind w:right="420"/>
        <w:jc w:val="center"/>
        <w:divId w:val="1255627665"/>
      </w:pPr>
      <w:r>
        <w:rPr>
          <w:rFonts w:hint="eastAsia"/>
        </w:rPr>
        <w:t xml:space="preserve">       </w:t>
      </w:r>
      <w:r w:rsidR="00D8148E">
        <w:rPr>
          <w:rFonts w:hint="eastAsia"/>
        </w:rPr>
        <w:t xml:space="preserve">                     </w:t>
      </w:r>
      <w:r>
        <w:rPr>
          <w:rFonts w:hint="eastAsia"/>
        </w:rPr>
        <w:t xml:space="preserve"> </w:t>
      </w:r>
      <w:r w:rsidR="00D8148E">
        <w:rPr>
          <w:rFonts w:hint="eastAsia"/>
        </w:rPr>
        <w:t xml:space="preserve">          </w:t>
      </w:r>
      <w:r w:rsidR="006A7F38">
        <w:rPr>
          <w:rFonts w:hint="eastAsia"/>
        </w:rPr>
        <w:t>法定代表人:</w:t>
      </w:r>
      <w:r>
        <w:t xml:space="preserve"> </w:t>
      </w:r>
      <w:r w:rsidR="00D8148E">
        <w:rPr>
          <w:rFonts w:hint="eastAsia"/>
        </w:rPr>
        <w:t>孙兆学</w:t>
      </w:r>
    </w:p>
    <w:p w:rsidR="006A7F38" w:rsidRDefault="00D8148E" w:rsidP="00D8148E">
      <w:pPr>
        <w:ind w:right="420"/>
        <w:jc w:val="center"/>
        <w:divId w:val="1255627665"/>
      </w:pPr>
      <w:r>
        <w:rPr>
          <w:rFonts w:hint="eastAsia"/>
        </w:rPr>
        <w:t xml:space="preserve">                                      </w:t>
      </w:r>
      <w:r w:rsidR="006A7F38">
        <w:rPr>
          <w:rFonts w:hint="eastAsia"/>
        </w:rPr>
        <w:t>2013年10月28日</w:t>
      </w:r>
    </w:p>
    <w:p w:rsidR="006A7F38" w:rsidRDefault="006A7F38">
      <w:pPr>
        <w:divId w:val="1255627665"/>
        <w:rPr>
          <w:rFonts w:cs="宋体"/>
          <w:szCs w:val="21"/>
        </w:rPr>
        <w:sectPr w:rsidR="006A7F38">
          <w:pgSz w:w="12240" w:h="15840"/>
          <w:pgMar w:top="1440" w:right="1800" w:bottom="1440" w:left="1800" w:header="720" w:footer="720" w:gutter="0"/>
          <w:cols w:space="720"/>
        </w:sectPr>
      </w:pPr>
    </w:p>
    <w:p w:rsidR="006A7F38" w:rsidRDefault="006A7F38">
      <w:pPr>
        <w:pStyle w:val="1"/>
        <w:divId w:val="1255627665"/>
      </w:pPr>
      <w:bookmarkStart w:id="3" w:name="_Toc369878451"/>
      <w:r>
        <w:rPr>
          <w:rFonts w:hAnsi="Times New Roman" w:hint="eastAsia"/>
        </w:rPr>
        <w:lastRenderedPageBreak/>
        <w:t xml:space="preserve">四、 </w:t>
      </w:r>
      <w:r>
        <w:rPr>
          <w:rFonts w:hint="eastAsia"/>
        </w:rPr>
        <w:t xml:space="preserve"> 附录</w:t>
      </w:r>
      <w:bookmarkEnd w:id="3"/>
    </w:p>
    <w:p w:rsidR="006A7F38" w:rsidRDefault="006A7F38">
      <w:pPr>
        <w:divId w:val="1255627665"/>
        <w:rPr>
          <w:rFonts w:cs="宋体"/>
          <w:szCs w:val="21"/>
        </w:rPr>
      </w:pPr>
      <w:r>
        <w:rPr>
          <w:rFonts w:cs="宋体" w:hint="eastAsia"/>
          <w:szCs w:val="21"/>
        </w:rPr>
        <w:t xml:space="preserve">4.1  </w:t>
      </w:r>
    </w:p>
    <w:p w:rsidR="006A7F38" w:rsidRDefault="006A7F38">
      <w:pPr>
        <w:jc w:val="center"/>
        <w:divId w:val="1255627665"/>
        <w:rPr>
          <w:rFonts w:hAnsi="Times New Roman"/>
          <w:szCs w:val="18"/>
        </w:rPr>
      </w:pPr>
      <w:r>
        <w:rPr>
          <w:rFonts w:hint="eastAsia"/>
          <w:b/>
          <w:bCs/>
        </w:rPr>
        <w:t>合并资产负债表</w:t>
      </w:r>
    </w:p>
    <w:p w:rsidR="006A7F38" w:rsidRDefault="006A7F38">
      <w:pPr>
        <w:spacing w:line="240" w:lineRule="atLeast"/>
        <w:jc w:val="center"/>
        <w:divId w:val="1255627665"/>
      </w:pPr>
      <w:r>
        <w:rPr>
          <w:rFonts w:hint="eastAsia"/>
        </w:rPr>
        <w:t>2013年9月30日</w:t>
      </w:r>
    </w:p>
    <w:p w:rsidR="006A7F38" w:rsidRDefault="006A7F38">
      <w:pPr>
        <w:divId w:val="1255627665"/>
      </w:pPr>
      <w:r>
        <w:rPr>
          <w:rFonts w:hint="eastAsia"/>
        </w:rPr>
        <w:t>编制单位: 中金黄金股份有限公司</w:t>
      </w:r>
    </w:p>
    <w:p w:rsidR="006A7F38" w:rsidRDefault="006A7F38">
      <w:pPr>
        <w:jc w:val="right"/>
        <w:divId w:val="1255627665"/>
      </w:pPr>
      <w:r>
        <w:rPr>
          <w:rFonts w:hint="eastAsia"/>
        </w:rPr>
        <w:t>单位：元 币种：人民币 审计类型：未经审计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2325"/>
        <w:gridCol w:w="2325"/>
      </w:tblGrid>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项目</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期末余额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年初余额</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货币资金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1,830,764,177.60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2,228,589,033.02</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结算备付金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拆出资金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交易性金融资产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应收票据</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46,994,562.81</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21,498,265.28</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应收账款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368,129,463.15</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302,720,657.85</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预付款项</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1,673,139,461.53</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1,010,615,533.64</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应收保费</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应收分保账款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应收分保合同准备金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应收利息</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应收股利</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其他应收款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427,170,942.30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210,224,901.96</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买入返售金融资产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存货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3,871,780,979.66</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3,678,478,763.45</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一年内到期的非流动资产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其他流动资产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7,986,283.41</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1,769,861.93</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流动资产合计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8,225,965,870.46</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7,453,897,017.13</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非流动资产：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发放委托贷款及垫款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可供出售金融资产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持有至到期投资</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长期应收款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长期股权投资</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140,932,605.94</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109,168,753.18</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投资性房地产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39,006,209.54</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40,452,822.14</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固定资产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5,625,401,199.64</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5,820,740,666.59</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在建工程</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3,841,186,172.37</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2,073,285,386.91</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工程物资</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13,052,643.31</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6,487,731.23</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固定资产清理</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生产性生物资产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油气资产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无形资产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4,448,052,831.39</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4,626,492,081.46</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开发支出</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商誉</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643,233,562.09</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643,233,562.09</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长期待摊费用</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579,705,142.46</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630,540,730.26</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递延所得税资产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92,442,997.95</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90,937,959.67</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其他非流动资产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lastRenderedPageBreak/>
              <w:t>      非流动资产合计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15,423,013,364.69</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14,041,339,693.53</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资产总计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23,648,979,235.15</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21,495,236,710.66</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短期借款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1,762,032,727.00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1,559,532,727.00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向中央银行借款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吸收存款及同业存放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拆入资金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交易性金融负债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应付票据</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2,000,000.00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应付账款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1,712,273,631.03</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1,564,884,507.62</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预收款项</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438,318,693.20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398,248,661.59</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卖出回购金融资产款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应付手续费及佣金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应付职工薪酬</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230,059,968.92</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218,973,807.75</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应交税费</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253,667,738.94</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503,361,638.65</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应付利息</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28,700,634.37</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58,714,440.85</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应付股利</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356,789,125.78</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101,325,284.38</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其他应付款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1,092,805,062.39</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1,044,448,556.90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应付分保账款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保险合同准备金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代理买卖证券款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代理承销证券款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一年内到期的非流动负债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1,288,039,349.88</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132,264,728.43</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其他流动负债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600,000,000.00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600,000,000.00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流动负债合计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7,764,686,931.51</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6,181,754,353.17</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非流动负债：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长期借款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2,517,468,638.00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817,870,456.00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应付债券</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1,200,000,000.00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长期应付款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91,746,764.05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105,374,756.68</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专项应付款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2,190,000.00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1,940,000.00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预计负债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5,343,795.62</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5,420,645.62</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递延所得税负债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813,478,121.25</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830,842,351.69</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其他非流动负债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303,508,306.70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307,850,556.50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非流动负债合计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3,733,735,625.62</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3,269,298,766.49</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负债合计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11,498,422,557.13</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9,451,053,119.66</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所有者权益（或股东权益）：</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实收资本（或股本）</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2,943,228,797.00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2,943,228,797.00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资本公积</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1,691,607,967.09</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1,691,607,967.09</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减：库存股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专项储备</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24,399,118.04</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23,351,458.41</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盈余公积</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414,262,783.15</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414,262,783.15</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一般风险准备</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未分配利润</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5,196,409,012.10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4,978,882,088.27</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外币报表折算差额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归属于母公司所有者权益合计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10,269,907,677.38</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10,051,333,093.92</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lastRenderedPageBreak/>
              <w:t>    少数股东权益</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1,880,649,000.64</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1,992,850,497.08</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所有者权益合计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12,150,556,678.02</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12,044,183,591.00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负债和所有者权益总计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23,648,979,235.15</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21,495,236,710.66</w:t>
            </w:r>
          </w:p>
        </w:tc>
      </w:tr>
    </w:tbl>
    <w:p w:rsidR="006A7F38" w:rsidRDefault="006A7F38">
      <w:pPr>
        <w:divId w:val="1255627665"/>
        <w:rPr>
          <w:rFonts w:hAnsi="Times New Roman"/>
          <w:szCs w:val="18"/>
        </w:rPr>
      </w:pPr>
      <w:r>
        <w:rPr>
          <w:rFonts w:hint="eastAsia"/>
        </w:rPr>
        <w:t xml:space="preserve">公司法定代表人: 孙兆学  主管会计工作负责人:魏浩水  会计机构负责人:魏浩水 </w:t>
      </w:r>
    </w:p>
    <w:p w:rsidR="006A7F38" w:rsidRDefault="006A7F38">
      <w:pPr>
        <w:divId w:val="1255627665"/>
        <w:rPr>
          <w:rFonts w:cs="宋体"/>
          <w:szCs w:val="21"/>
        </w:rPr>
      </w:pPr>
    </w:p>
    <w:p w:rsidR="006A7F38" w:rsidRDefault="006A7F38">
      <w:pPr>
        <w:jc w:val="center"/>
        <w:divId w:val="1255627665"/>
        <w:rPr>
          <w:rFonts w:hAnsi="Times New Roman"/>
          <w:szCs w:val="18"/>
        </w:rPr>
      </w:pPr>
      <w:r>
        <w:rPr>
          <w:rFonts w:hint="eastAsia"/>
          <w:b/>
          <w:bCs/>
        </w:rPr>
        <w:t>母公司资产负债表</w:t>
      </w:r>
    </w:p>
    <w:p w:rsidR="006A7F38" w:rsidRDefault="006A7F38">
      <w:pPr>
        <w:spacing w:line="240" w:lineRule="atLeast"/>
        <w:jc w:val="center"/>
        <w:divId w:val="1255627665"/>
      </w:pPr>
      <w:r>
        <w:rPr>
          <w:rFonts w:hint="eastAsia"/>
        </w:rPr>
        <w:t>2013年9月30日</w:t>
      </w:r>
    </w:p>
    <w:p w:rsidR="006A7F38" w:rsidRDefault="006A7F38">
      <w:pPr>
        <w:divId w:val="1255627665"/>
      </w:pPr>
      <w:r>
        <w:rPr>
          <w:rFonts w:hint="eastAsia"/>
        </w:rPr>
        <w:t xml:space="preserve">编制单位: 中金黄金股份有限公司 </w:t>
      </w:r>
    </w:p>
    <w:p w:rsidR="006A7F38" w:rsidRDefault="006A7F38">
      <w:pPr>
        <w:jc w:val="right"/>
        <w:divId w:val="1255627665"/>
      </w:pPr>
      <w:r>
        <w:rPr>
          <w:rFonts w:hint="eastAsia"/>
        </w:rPr>
        <w:t>单位:元 币种:人民币 审计类型:未经审计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2325"/>
        <w:gridCol w:w="2325"/>
      </w:tblGrid>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项目</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期末余额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年初余额</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货币资金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1,120,893,775.63</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1,201,313,456.73</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交易性金融资产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应收票据</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应收账款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198,083,234.83</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123,890,753.04</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预付款项</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258,472,212.98</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173,192,992.21</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应收利息</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应收股利</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284,080,774.94</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114,578,489.03</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其他应收款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6,263,815,059.23</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4,882,764,309.97</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存货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一年内到期的非流动资产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其他流动资产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流动资产合计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8,125,345,057.61</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6,495,740,000.98</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非流动资产：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可供出售金融资产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持有至到期投资</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长期应收款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长期股权投资</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5,481,384,220.55</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5,385,488,264.08</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投资性房地产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固定资产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29,730,007.75</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30,843,411.93</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在建工程</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工程物资</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固定资产清理</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生产性生物资产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油气资产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无形资产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500,000.00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500,000.00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开发支出</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商誉</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长期待摊费用</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递延所得税资产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85,274,185.00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85,274,185.00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其他非流动资产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非流动资产合计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5,596,888,413.30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5,502,105,861.01</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资产总计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13,722,233,470.91</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11,997,845,861.99</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短期借款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600,000,000.00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lastRenderedPageBreak/>
              <w:t>    交易性金融负债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应付票据</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应付账款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1,058,920,864.63</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1,245,333,215.20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预收款项</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76,876,941.14</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26,269,222.10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应付职工薪酬</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9,614,636.81</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13,805,192.14</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应交税费</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1,139,037.84</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9,697,835.82</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应付利息</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26,767,291.64</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57,296,708.32</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应付股利</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235,502,189.60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其他应付款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68,740,427.46</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154,098,219.39</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一年内到期的非流动负债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1,200,000,000.00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其他流动负债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600,000,000.00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600,000,000.00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流动负债合计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3,277,561,389.12</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2,706,500,392.97</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非流动负债：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长期借款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2,400,000,000.00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700,000,000.00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应付债券</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1,200,000,000.00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长期应付款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专项应付款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预计负债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递延所得税负债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其他非流动负债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非流动负债合计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2,400,000,000.00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1,900,000,000.00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负债合计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5,677,561,389.12</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4,606,500,392.97</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所有者权益（或股东权益）：</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实收资本（或股本）</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2,943,228,797.00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2,943,228,797.00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资本公积</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2,075,003,319.62</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2,075,003,319.62</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减：库存股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专项储备</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盈余公积</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343,923,196.28</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343,923,196.28</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一般风险准备</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未分配利润</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2,682,516,768.89</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2,029,190,156.12</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所有者权益（或股东权益）合计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8,044,672,081.79</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7,391,345,469.02</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负债和所有者权益（或股东权益）总计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13,722,233,470.91</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11,997,845,861.99</w:t>
            </w:r>
          </w:p>
        </w:tc>
      </w:tr>
    </w:tbl>
    <w:p w:rsidR="006A7F38" w:rsidRDefault="006A7F38">
      <w:pPr>
        <w:divId w:val="1255627665"/>
        <w:rPr>
          <w:rFonts w:hAnsi="Times New Roman"/>
          <w:szCs w:val="18"/>
        </w:rPr>
      </w:pPr>
      <w:r>
        <w:rPr>
          <w:rFonts w:hint="eastAsia"/>
        </w:rPr>
        <w:t>公司法定代表人: 孙兆学  主管会计工作负责人:魏浩水  会计机构负责人:魏浩水</w:t>
      </w:r>
    </w:p>
    <w:p w:rsidR="006A7F38" w:rsidRDefault="006A7F38">
      <w:pPr>
        <w:divId w:val="1255627665"/>
        <w:rPr>
          <w:rFonts w:cs="宋体"/>
          <w:szCs w:val="21"/>
        </w:rPr>
      </w:pPr>
    </w:p>
    <w:p w:rsidR="006A7F38" w:rsidRDefault="006A7F38">
      <w:pPr>
        <w:divId w:val="1255627665"/>
        <w:rPr>
          <w:rFonts w:cs="宋体"/>
          <w:szCs w:val="21"/>
        </w:rPr>
      </w:pPr>
      <w:r>
        <w:rPr>
          <w:rFonts w:cs="宋体" w:hint="eastAsia"/>
          <w:szCs w:val="21"/>
        </w:rPr>
        <w:t xml:space="preserve">4.2  </w:t>
      </w:r>
    </w:p>
    <w:p w:rsidR="006A7F38" w:rsidRDefault="006A7F38">
      <w:pPr>
        <w:jc w:val="center"/>
        <w:divId w:val="1255627665"/>
        <w:rPr>
          <w:rFonts w:hAnsi="Times New Roman"/>
          <w:szCs w:val="18"/>
        </w:rPr>
      </w:pPr>
      <w:r>
        <w:rPr>
          <w:rFonts w:hint="eastAsia"/>
          <w:b/>
          <w:bCs/>
        </w:rPr>
        <w:t>合并利润表</w:t>
      </w:r>
    </w:p>
    <w:p w:rsidR="006A7F38" w:rsidRDefault="006A7F38">
      <w:pPr>
        <w:divId w:val="1255627665"/>
      </w:pPr>
      <w:r>
        <w:rPr>
          <w:rFonts w:hint="eastAsia"/>
        </w:rPr>
        <w:t>编制单位: 中金黄金股份有限公司</w:t>
      </w:r>
    </w:p>
    <w:p w:rsidR="006A7F38" w:rsidRDefault="006A7F38">
      <w:pPr>
        <w:jc w:val="right"/>
        <w:divId w:val="1255627665"/>
      </w:pPr>
      <w:r>
        <w:rPr>
          <w:rFonts w:hint="eastAsia"/>
        </w:rPr>
        <w:t>单位：元 币种：人民币 审计类型：未经审计</w:t>
      </w:r>
    </w:p>
    <w:tbl>
      <w:tblPr>
        <w:tblW w:w="9222" w:type="dxa"/>
        <w:tblInd w:w="100" w:type="dxa"/>
        <w:tblBorders>
          <w:top w:val="single" w:sz="4" w:space="0" w:color="auto"/>
          <w:left w:val="single" w:sz="4" w:space="0" w:color="auto"/>
          <w:bottom w:val="single" w:sz="4" w:space="0" w:color="auto"/>
          <w:right w:val="single" w:sz="4" w:space="0" w:color="auto"/>
        </w:tblBorders>
        <w:tblLayout w:type="fixed"/>
        <w:tblLook w:val="04A0"/>
      </w:tblPr>
      <w:tblGrid>
        <w:gridCol w:w="1709"/>
        <w:gridCol w:w="1985"/>
        <w:gridCol w:w="1843"/>
        <w:gridCol w:w="1842"/>
        <w:gridCol w:w="1843"/>
      </w:tblGrid>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项目</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本期金额</w:t>
            </w:r>
          </w:p>
          <w:p w:rsidR="006A7F38" w:rsidRDefault="006A7F38">
            <w:pPr>
              <w:pStyle w:val="23"/>
              <w:jc w:val="center"/>
              <w:rPr>
                <w:rFonts w:hint="default"/>
                <w:sz w:val="21"/>
                <w:szCs w:val="21"/>
              </w:rPr>
            </w:pPr>
            <w:r>
              <w:rPr>
                <w:b/>
                <w:bCs/>
                <w:sz w:val="21"/>
                <w:szCs w:val="21"/>
              </w:rPr>
              <w:t>（7－9月）</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上期金额</w:t>
            </w:r>
          </w:p>
          <w:p w:rsidR="006A7F38" w:rsidRDefault="006A7F38">
            <w:pPr>
              <w:pStyle w:val="23"/>
              <w:jc w:val="center"/>
              <w:rPr>
                <w:rFonts w:hint="default"/>
                <w:sz w:val="21"/>
                <w:szCs w:val="21"/>
              </w:rPr>
            </w:pPr>
            <w:r>
              <w:rPr>
                <w:b/>
                <w:bCs/>
                <w:sz w:val="21"/>
                <w:szCs w:val="21"/>
              </w:rPr>
              <w:t>（7－9月）</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年初至报告期期末金额（1-9月）</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上年年初至报告期期末金额（1-9月）</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一、营业总收入</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7,540,663,971.42</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10,788,800,824.76</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22,869,735,141.05</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27,036,948,363.41</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其中：营业收入</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7,540,663,971.42</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10,788,800,824.76</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22,869,735,141.05</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27,036,948,363.41</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w:t>
            </w:r>
            <w:r w:rsidRPr="002E7B37">
              <w:rPr>
                <w:rFonts w:cs="宋体" w:hint="eastAsia"/>
                <w:sz w:val="18"/>
                <w:szCs w:val="18"/>
              </w:rPr>
              <w:lastRenderedPageBreak/>
              <w:t>  利息收入</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lastRenderedPageBreak/>
              <w:t>已赚保费</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手续费及佣金收入</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二、营业总成本</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7,318,731,295.10</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10,105,209,308.91</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21,567,291,983.52</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24,905,527,370.07</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其中：营业成本</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6,859,078,320.21</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9,618,030,950.03</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20,256,086,820.09</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23,569,733,609.68</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利息支出</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手续费及佣金支出</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退保金</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赔付支出净额</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提取保险合同准备金净额</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保单红利支出</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分保费用</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营业税金及附加</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17,489,768.95</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18,813,944.02</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54,259,654.65</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50,985,004.05</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销售费用</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11,356,429.38</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16,746,894.55</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38,251,169.39</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41,999,226.62</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管理费用</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396,676,430.00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386,606,796.79</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1,110,046,779.65</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1,068,127,388.51</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财务费用</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34,505,505.58</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63,751,819.08</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109,568,394.12</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172,049,749.23</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资产减值损失</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-375,159.02</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1,258,904.44</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-920,834.38</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2,632,391.98</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加：公允价值变动收益（损失以“－”号填列）</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投资收益（损失以“－”号填列）</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4,126,781.89</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1,947,672.50</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9,445,852.76</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8,805,159.92</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其中：对联营企业和合营企业的投资收益</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1,829,781.90</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2,570,634.22</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7,148,852.77</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8,336,550.43</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汇兑收益（损失以“－”号填列）</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三、营业利润（亏损以“－”号填列）</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226,059,458.21</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685,539,188.35</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1,311,889,010.29</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2,140,226,153.26</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加：营业外收入</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16,038,348.98</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18,443,328.55</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56,283,019.04</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59,982,043.44</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减：营业外支出</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7,543,238.18</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37,570,460.18</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27,702,797.64</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58,149,954.75</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其中：非流动资产处置损失</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365,143.88</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1,383,918.33</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1,222,969.34</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4,865,565.46</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四、利润总额（亏损总额以“－”号填列）</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234,554,569.01</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666,412,056.72</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1,340,469,231.69</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2,142,058,241.95</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减：所得税费用</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79,454,497.22</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193,360,597.93</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391,931,877.51</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574,568,900.61</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五、净利润（净亏损以“－”号填列）</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155,100,071.79</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473,051,458.79</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948,537,354.18</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1,567,489,341.34</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归属于母公司所有者的净利润</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108,848,594.04</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353,322,244.11</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688,443,531.35</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1,177,729,863.86</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少数股东损益</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46,251,477.75</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119,729,214.68</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260,093,822.83</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389,759,477.48</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六、每股收益：</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（一）基本每股收益</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0.04</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0.12</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0.23</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0.40</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（二）稀释每股收益</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0.04</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0.12</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0.23</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0.40</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lastRenderedPageBreak/>
              <w:t>七、其他综合收益</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八、综合收益总额</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155,100,071.79</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473,051,458.79</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948,537,354.18</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1,567,489,341.34</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归属于母公司所有者的综合收益总额</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108,848,594.04</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353,322,244.11</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688,443,531.35</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1,177,729,863.86</w:t>
            </w:r>
          </w:p>
        </w:tc>
      </w:tr>
      <w:tr w:rsidR="006A7F38" w:rsidTr="002E7B37">
        <w:trPr>
          <w:divId w:val="1255627665"/>
        </w:trPr>
        <w:tc>
          <w:tcPr>
            <w:tcW w:w="1709"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归属于少数股东的综合收益总额</w:t>
            </w:r>
          </w:p>
        </w:tc>
        <w:tc>
          <w:tcPr>
            <w:tcW w:w="1985"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46,251,477.75</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119,729,214.68</w:t>
            </w:r>
          </w:p>
        </w:tc>
        <w:tc>
          <w:tcPr>
            <w:tcW w:w="1842"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260,093,822.83</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389,759,477.48</w:t>
            </w:r>
          </w:p>
        </w:tc>
      </w:tr>
    </w:tbl>
    <w:p w:rsidR="006A7F38" w:rsidRDefault="006A7F38">
      <w:pPr>
        <w:divId w:val="1255627665"/>
        <w:rPr>
          <w:rFonts w:cs="宋体"/>
          <w:szCs w:val="21"/>
        </w:rPr>
      </w:pPr>
    </w:p>
    <w:p w:rsidR="006A7F38" w:rsidRDefault="006A7F38">
      <w:pPr>
        <w:divId w:val="1255627665"/>
        <w:rPr>
          <w:rFonts w:hAnsi="Times New Roman"/>
          <w:szCs w:val="18"/>
        </w:rPr>
      </w:pPr>
      <w:r>
        <w:rPr>
          <w:rFonts w:hint="eastAsia"/>
        </w:rPr>
        <w:t>本期发生同一控制下企业合并的，被合并方在合并前实现的净利润为：0元。</w:t>
      </w:r>
    </w:p>
    <w:p w:rsidR="006A7F38" w:rsidRDefault="006A7F38">
      <w:pPr>
        <w:divId w:val="1255627665"/>
      </w:pPr>
      <w:r>
        <w:rPr>
          <w:rFonts w:hint="eastAsia"/>
        </w:rPr>
        <w:t xml:space="preserve">公司法定代表人: 孙兆学  主管会计工作负责人:魏浩水  会计机构负责人:魏浩水 </w:t>
      </w:r>
    </w:p>
    <w:p w:rsidR="006A7F38" w:rsidRDefault="006A7F38">
      <w:pPr>
        <w:divId w:val="1255627665"/>
        <w:rPr>
          <w:rFonts w:cs="宋体"/>
          <w:szCs w:val="21"/>
        </w:rPr>
      </w:pPr>
    </w:p>
    <w:p w:rsidR="006A7F38" w:rsidRDefault="006A7F38">
      <w:pPr>
        <w:jc w:val="center"/>
        <w:divId w:val="1255627665"/>
        <w:rPr>
          <w:rFonts w:hAnsi="Times New Roman"/>
          <w:szCs w:val="18"/>
        </w:rPr>
      </w:pPr>
      <w:r>
        <w:rPr>
          <w:rFonts w:hint="eastAsia"/>
          <w:b/>
          <w:bCs/>
        </w:rPr>
        <w:t>母公司利润表</w:t>
      </w:r>
    </w:p>
    <w:p w:rsidR="006A7F38" w:rsidRDefault="006A7F38">
      <w:pPr>
        <w:divId w:val="1255627665"/>
      </w:pPr>
      <w:r>
        <w:rPr>
          <w:rFonts w:hint="eastAsia"/>
        </w:rPr>
        <w:t>编制单位: 中金黄金股份有限公司</w:t>
      </w:r>
    </w:p>
    <w:p w:rsidR="006A7F38" w:rsidRDefault="006A7F38">
      <w:pPr>
        <w:jc w:val="right"/>
        <w:divId w:val="1255627665"/>
      </w:pPr>
      <w:r>
        <w:rPr>
          <w:rFonts w:hint="eastAsia"/>
        </w:rPr>
        <w:t>单位：元 币种：人民币 审计类型：未经审计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676"/>
        <w:gridCol w:w="1656"/>
        <w:gridCol w:w="1656"/>
        <w:gridCol w:w="1656"/>
        <w:gridCol w:w="1656"/>
      </w:tblGrid>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项目</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本期金额</w:t>
            </w:r>
          </w:p>
          <w:p w:rsidR="006A7F38" w:rsidRDefault="006A7F38">
            <w:pPr>
              <w:pStyle w:val="23"/>
              <w:jc w:val="center"/>
              <w:rPr>
                <w:rFonts w:hint="default"/>
                <w:sz w:val="21"/>
                <w:szCs w:val="21"/>
              </w:rPr>
            </w:pPr>
            <w:r>
              <w:rPr>
                <w:b/>
                <w:bCs/>
                <w:sz w:val="21"/>
                <w:szCs w:val="21"/>
              </w:rPr>
              <w:t>（7－9月）</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上期金额</w:t>
            </w:r>
          </w:p>
          <w:p w:rsidR="006A7F38" w:rsidRDefault="006A7F38">
            <w:pPr>
              <w:pStyle w:val="23"/>
              <w:jc w:val="center"/>
              <w:rPr>
                <w:rFonts w:hint="default"/>
                <w:sz w:val="21"/>
                <w:szCs w:val="21"/>
              </w:rPr>
            </w:pPr>
            <w:r>
              <w:rPr>
                <w:b/>
                <w:bCs/>
                <w:sz w:val="21"/>
                <w:szCs w:val="21"/>
              </w:rPr>
              <w:t>（7－9月）</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年初至报告期期末金额（1-9月）</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上年年初至报告期期末金额（1-9月）</w:t>
            </w: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一、营业收入</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1,878,182,658.34</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2,394,240,879.77</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5,423,086,004.86</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6,141,364,471.61</w:t>
            </w: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减：营业成本</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1,863,896,144.02</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2,377,219,321.18</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5,379,894,076.71</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6,092,028,295.04</w:t>
            </w: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rsidP="002E7B37">
            <w:pPr>
              <w:rPr>
                <w:rFonts w:cs="宋体"/>
                <w:sz w:val="18"/>
                <w:szCs w:val="18"/>
              </w:rPr>
            </w:pPr>
            <w:r w:rsidRPr="002E7B37">
              <w:rPr>
                <w:rFonts w:cs="宋体" w:hint="eastAsia"/>
                <w:sz w:val="18"/>
                <w:szCs w:val="18"/>
              </w:rPr>
              <w:t>营业税金及附加</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50,881.12</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14,171.72</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87,779.07</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105,348.00</w:t>
            </w: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销售费用</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257,374.90</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372,238.00</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1,145,809.84</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1,249,735.50</w:t>
            </w: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管理费用</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13,144,727.28</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13,946,279.29</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41,767,774.35</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41,623,489.64</w:t>
            </w: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财务费用</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-18,988,982.28</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-4,833,399.95</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-56,626,340.26</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-24,214,713.82</w:t>
            </w: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资产减值损失</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加：公允价值变动收益（损失以“－”号填列）</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投资收益（损失以“－”号填列）</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-3,105,066.97</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8,366,222.50</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1,085,995,446.81</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1,169,047,913.08</w:t>
            </w: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其中：对联营企业和合营企业的投资收益</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1,198,964.44</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2,570,634.22</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5,895,966.46</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8,336,550.43</w:t>
            </w: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二、营业利润（亏损以“－”号填列）</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16,717,446.33</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15,888,492.03</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1,142,812,351.96</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1,199,620,230.33</w:t>
            </w: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加：营业外收入</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减：营业外支出</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3,018,706.17</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4,606,861.82</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3,018,706.17</w:t>
            </w: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其中：非流动资产处置损失</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三、利润总额（亏损总额以“－”号填列）</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16,717,446.33</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12,869,785.86</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1,138,205,490.14</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1,196,601,524.16</w:t>
            </w: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减：所得税费用</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13,962,269.85</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四、净利润（净亏损以“－”号填列）</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16,717,446.33</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12,869,785.86</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1,124,243,220.29</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1,196,601,524.16</w:t>
            </w: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五、每股收益：</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（一）基本每股收益</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    （二）稀释每股收益</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六、其他综合收益</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p>
        </w:tc>
      </w:tr>
      <w:tr w:rsidR="006A7F38">
        <w:trPr>
          <w:divId w:val="1255627665"/>
        </w:trPr>
        <w:tc>
          <w:tcPr>
            <w:tcW w:w="165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rPr>
                <w:rFonts w:cs="宋体"/>
                <w:sz w:val="18"/>
                <w:szCs w:val="18"/>
              </w:rPr>
            </w:pPr>
            <w:r w:rsidRPr="002E7B37">
              <w:rPr>
                <w:rFonts w:cs="宋体" w:hint="eastAsia"/>
                <w:sz w:val="18"/>
                <w:szCs w:val="18"/>
              </w:rPr>
              <w:t>七、综合收益总额</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16,717,446.33</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12,869,785.86</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1,124,243,220.29</w:t>
            </w:r>
          </w:p>
        </w:tc>
        <w:tc>
          <w:tcPr>
            <w:tcW w:w="800" w:type="pct"/>
            <w:tcBorders>
              <w:top w:val="outset" w:sz="6" w:space="0" w:color="auto"/>
              <w:left w:val="outset" w:sz="6" w:space="0" w:color="auto"/>
              <w:bottom w:val="outset" w:sz="6" w:space="0" w:color="auto"/>
              <w:right w:val="outset" w:sz="6" w:space="0" w:color="auto"/>
            </w:tcBorders>
            <w:vAlign w:val="center"/>
            <w:hideMark/>
          </w:tcPr>
          <w:p w:rsidR="006A7F38" w:rsidRPr="002E7B37" w:rsidRDefault="006A7F38">
            <w:pPr>
              <w:jc w:val="right"/>
              <w:rPr>
                <w:rFonts w:cs="宋体"/>
                <w:sz w:val="18"/>
                <w:szCs w:val="18"/>
              </w:rPr>
            </w:pPr>
            <w:r w:rsidRPr="002E7B37">
              <w:rPr>
                <w:rFonts w:cs="宋体" w:hint="eastAsia"/>
                <w:sz w:val="18"/>
                <w:szCs w:val="18"/>
              </w:rPr>
              <w:t>1,196,601,524.16</w:t>
            </w:r>
          </w:p>
        </w:tc>
      </w:tr>
    </w:tbl>
    <w:p w:rsidR="006A7F38" w:rsidRDefault="006A7F38">
      <w:pPr>
        <w:divId w:val="1255627665"/>
        <w:rPr>
          <w:rFonts w:hAnsi="Times New Roman"/>
          <w:szCs w:val="18"/>
        </w:rPr>
      </w:pPr>
      <w:r>
        <w:rPr>
          <w:rFonts w:hint="eastAsia"/>
        </w:rPr>
        <w:t>公司法定代表人: 孙兆学  主管会计工作负责人:魏浩水  会计机构负责人:魏浩水</w:t>
      </w:r>
    </w:p>
    <w:p w:rsidR="006A7F38" w:rsidRDefault="006A7F38">
      <w:pPr>
        <w:divId w:val="1255627665"/>
        <w:rPr>
          <w:rFonts w:cs="宋体"/>
          <w:szCs w:val="21"/>
        </w:rPr>
      </w:pPr>
    </w:p>
    <w:p w:rsidR="006A7F38" w:rsidRDefault="006A7F38">
      <w:pPr>
        <w:divId w:val="1255627665"/>
        <w:rPr>
          <w:rFonts w:cs="宋体"/>
          <w:szCs w:val="21"/>
        </w:rPr>
      </w:pPr>
      <w:r>
        <w:rPr>
          <w:rFonts w:cs="宋体" w:hint="eastAsia"/>
          <w:szCs w:val="21"/>
        </w:rPr>
        <w:t xml:space="preserve">4.3  </w:t>
      </w:r>
    </w:p>
    <w:p w:rsidR="006A7F38" w:rsidRDefault="006A7F38">
      <w:pPr>
        <w:jc w:val="center"/>
        <w:divId w:val="1255627665"/>
        <w:rPr>
          <w:rFonts w:hAnsi="Times New Roman"/>
          <w:szCs w:val="18"/>
        </w:rPr>
      </w:pPr>
      <w:r>
        <w:rPr>
          <w:rFonts w:hint="eastAsia"/>
          <w:b/>
          <w:bCs/>
        </w:rPr>
        <w:t>合并现金流量表</w:t>
      </w:r>
    </w:p>
    <w:p w:rsidR="006A7F38" w:rsidRDefault="006A7F38">
      <w:pPr>
        <w:jc w:val="center"/>
        <w:divId w:val="1255627665"/>
      </w:pPr>
      <w:r>
        <w:rPr>
          <w:rFonts w:hint="eastAsia"/>
        </w:rPr>
        <w:t>2013年1—9月</w:t>
      </w:r>
    </w:p>
    <w:p w:rsidR="006A7F38" w:rsidRDefault="006A7F38">
      <w:pPr>
        <w:divId w:val="1255627665"/>
      </w:pPr>
      <w:r>
        <w:rPr>
          <w:rFonts w:hint="eastAsia"/>
        </w:rPr>
        <w:lastRenderedPageBreak/>
        <w:t>编制单位: 中金黄金股份有限公司</w:t>
      </w:r>
    </w:p>
    <w:p w:rsidR="006A7F38" w:rsidRDefault="006A7F38">
      <w:pPr>
        <w:jc w:val="right"/>
        <w:divId w:val="1255627665"/>
      </w:pPr>
      <w:r>
        <w:rPr>
          <w:rFonts w:hint="eastAsia"/>
        </w:rPr>
        <w:t>单位：元 币种：人民币 审计类型：未经审计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2325"/>
        <w:gridCol w:w="2325"/>
      </w:tblGrid>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项目</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年初至报告期期末金额（1-9月）</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上年年初至报告期期末金额（1-9月）</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一、经营活动产生的现金流量：</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销售商品、提供劳务收到的现金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14,223,103,478.46</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19,973,945,651.82</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客户存款和同业存放款项净增加额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向中央银行借款净增加额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向其他金融机构拆入资金净增加额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收到原保险合同保费取得的现金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收到再保险业务现金净额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保户储金及投资款净增加额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处置交易性金融资产净增加额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收取利息、手续费及佣金的现金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拆入资金净增加额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回购业务资金净增加额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收到的税费返还</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5,610,877.42</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87,619.16</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收到其他与经营活动有关的现金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1,717,145,442.29</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1,713,605,182.78</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经营活动现金流入小计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15,945,859,798.17</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21,687,638,453.76</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购买商品、接受劳务支付的现金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12,376,499,223.68</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16,750,075,704.78</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客户贷款及垫款净增加额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存放中央银行和同业款项净增加额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支付原保险合同赔付款项的现金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支付利息、手续费及佣金的现金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支付保单红利的现金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支付给职工以及为职工支付的现金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1,191,488,847.11</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1,032,903,218.39</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支付的各项税费</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1,090,731,087.32</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1,139,494,165.26</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支付其他与经营活动有关的现金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969,189,643.03</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1,592,529,306.55</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经营活动现金流出小计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15,627,908,801.14</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20,515,002,394.98</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经营活动产生的现金流量净额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317,950,997.03</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1,172,636,058.78</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二、投资活动产生的现金流量：</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收回投资收到的现金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1,700,000.00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取得投资收益收到的现金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115,000.00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172,500.00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处置固定资产、无形资产和其他长期资产收回的现金净额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2,142,994.72</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4,876,855.57</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处置子公司及其他营业单位收到的现金净额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收到其他与投资活动有关的现金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投资活动现金流入小计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2,257,994.72</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6,749,355.57</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购建固定资产、无形资产和其他长期资产支付的现金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1,742,497,824.26</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898,785,756.62</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投资支付的现金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64,471,530.15</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64,196,855.49</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质押贷款净增加额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取得子公司及其他营业单位支付的现金净额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212,312,500.00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lastRenderedPageBreak/>
              <w:t>    支付其他与投资活动有关的现金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16,213,580.00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投资活动现金流出小计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1,823,182,934.41</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1,175,295,112.11</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投资活动产生的现金流量净额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-1,820,924,939.69</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-1,168,545,756.54</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三、筹资活动产生的现金流量：</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吸收投资收到的现金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41,444,366.02</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其中：子公司吸收少数股东投资收到的现金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41,444,366.02</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取得借款收到的现金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4,080,100,000.00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3,266,550,000.00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发行债券收到的现金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收到其他与筹资活动有关的现金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503,355.40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1,306,125.16</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筹资活动现金流入小计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4,080,603,355.40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3,309,300,491.18</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偿还债务支付的现金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2,186,755,189.18</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3,154,024,663.70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分配股利、利润或偿付利息支付的现金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785,099,078.98</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722,037,944.02</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其中：子公司支付给少数股东的股利、利润</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535,062,219.05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378,511,190.61</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支付其他与筹资活动有关的现金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3,600,000.00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10,425,741.55</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筹资活动现金流出小计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2,975,454,268.16</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3,886,488,349.27</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筹资活动产生的现金流量净额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1,105,149,087.24</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-577,187,858.09</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四、汇率变动对现金及现金等价物的影响</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五、现金及现金等价物净增加额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-397,824,855.42</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-573,097,555.85</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加：期初现金及现金等价物余额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2,228,589,033.02</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2,608,625,487.52</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六、期末现金及现金等价物余额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1,830,764,177.60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2,035,527,931.67</w:t>
            </w:r>
          </w:p>
        </w:tc>
      </w:tr>
    </w:tbl>
    <w:p w:rsidR="006A7F38" w:rsidRDefault="006A7F38">
      <w:pPr>
        <w:divId w:val="1255627665"/>
        <w:rPr>
          <w:rFonts w:hAnsi="Times New Roman"/>
          <w:szCs w:val="18"/>
        </w:rPr>
      </w:pPr>
      <w:r>
        <w:rPr>
          <w:rFonts w:hint="eastAsia"/>
        </w:rPr>
        <w:t>公司法定代表人: 孙兆学  主管会计工作负责人:魏浩水  会计机构负责人:魏浩水</w:t>
      </w:r>
    </w:p>
    <w:p w:rsidR="006A7F38" w:rsidRDefault="006A7F38">
      <w:pPr>
        <w:divId w:val="1255627665"/>
        <w:rPr>
          <w:rFonts w:cs="宋体"/>
          <w:szCs w:val="21"/>
        </w:rPr>
      </w:pPr>
    </w:p>
    <w:p w:rsidR="006A7F38" w:rsidRDefault="006A7F38">
      <w:pPr>
        <w:jc w:val="center"/>
        <w:divId w:val="1255627665"/>
        <w:rPr>
          <w:rFonts w:hAnsi="Times New Roman"/>
          <w:szCs w:val="18"/>
        </w:rPr>
      </w:pPr>
      <w:r>
        <w:rPr>
          <w:rFonts w:hint="eastAsia"/>
          <w:b/>
          <w:bCs/>
        </w:rPr>
        <w:t>母公司现金流量表</w:t>
      </w:r>
    </w:p>
    <w:p w:rsidR="006A7F38" w:rsidRDefault="006A7F38">
      <w:pPr>
        <w:jc w:val="center"/>
        <w:divId w:val="1255627665"/>
      </w:pPr>
      <w:r>
        <w:rPr>
          <w:rFonts w:hint="eastAsia"/>
        </w:rPr>
        <w:t>2013年1—9月</w:t>
      </w:r>
    </w:p>
    <w:p w:rsidR="006A7F38" w:rsidRDefault="006A7F38">
      <w:pPr>
        <w:divId w:val="1255627665"/>
      </w:pPr>
      <w:r>
        <w:rPr>
          <w:rFonts w:hint="eastAsia"/>
        </w:rPr>
        <w:t>编制单位: 中金黄金股份有限公司</w:t>
      </w:r>
    </w:p>
    <w:p w:rsidR="006A7F38" w:rsidRDefault="006A7F38">
      <w:pPr>
        <w:jc w:val="right"/>
        <w:divId w:val="1255627665"/>
      </w:pPr>
      <w:r>
        <w:rPr>
          <w:rFonts w:hint="eastAsia"/>
        </w:rPr>
        <w:t>单位:元 币种:人民币 审计类型:未经审计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2325"/>
        <w:gridCol w:w="2325"/>
      </w:tblGrid>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项目</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年初至报告期期末金额（1-9月）</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center"/>
              <w:rPr>
                <w:rFonts w:cs="宋体"/>
                <w:szCs w:val="21"/>
              </w:rPr>
            </w:pPr>
            <w:r>
              <w:rPr>
                <w:rFonts w:cs="宋体" w:hint="eastAsia"/>
                <w:b/>
                <w:bCs/>
                <w:szCs w:val="21"/>
              </w:rPr>
              <w:t>上年年初至报告期期末金额（1-9月）</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一、经营活动产生的现金流量：</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销售商品、提供劳务收到的现金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5,394,324,968.06</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6,153,766,836.19</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收到的税费返还</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收到其他与经营活动有关的现金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8,009,241,216.62</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13,257,823,327.90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经营活动现金流入小计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13,403,566,184.68</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19,411,590,164.09</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购买商品、接受劳务支付的现金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5,145,800,000.00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6,490,059,500.00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支付给职工以及为职工支付的现金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26,921,074.40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26,659,005.27</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支付的各项税费</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38,369,965.44</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535,555.90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支付其他与经营活动有关的现金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9,229,062,333.72</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12,951,735,610.86</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经营活动现金流出小计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14,440,153,373.56</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19,468,989,672.03</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经营活动产生的现金流量净额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-1,036,587,188.88</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-57,399,507.94</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二、投资活动产生的现金流量：</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收回投资收到的现金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取得投资收益收到的现金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284,826,097.96</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117,414,888.84</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处置固定资产、无形资产和其他长期资</w:t>
            </w:r>
            <w:r>
              <w:rPr>
                <w:rFonts w:cs="宋体" w:hint="eastAsia"/>
                <w:szCs w:val="21"/>
              </w:rPr>
              <w:lastRenderedPageBreak/>
              <w:t>产收回的现金净额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90,000.00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lastRenderedPageBreak/>
              <w:t>    处置子公司及其他营业单位收到的现金净额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收到其他与投资活动有关的现金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投资活动现金流入小计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284,826,097.96</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117,504,888.84</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购建固定资产、无形资产和其他长期资产支付的现金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35,150.00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1,156,927.00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投资支付的现金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40,000,000.00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63,600,000.00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取得子公司及其他营业单位支付的现金净额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支付其他与投资活动有关的现金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投资活动现金流出小计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40,035,150.00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64,756,927.00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投资活动产生的现金流量净额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244,790,947.96</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52,747,961.84</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三、筹资活动产生的现金流量：</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吸收投资收到的现金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取得借款收到的现金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2,300,000,000.00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1,200,000,000.00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发行债券收到的现金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收到其他与筹资活动有关的现金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筹资活动现金流入小计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2,300,000,000.00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1,200,000,000.00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偿还债务支付的现金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1,200,000,000.00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1,550,000,000.00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分配股利、利润或偿付利息支付的现金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385,023,440.18</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264,552,736.77</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支付其他与筹资活动有关的现金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3,600,000.00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31,314.00</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筹资活动现金流出小计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1,588,623,440.18</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1,814,584,050.77</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筹资活动产生的现金流量净额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711,376,559.82</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-614,584,050.77</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四、汇率变动对现金及现金等价物的影响</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五、现金及现金等价物净增加额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-80,419,681.10</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-619,235,596.87</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szCs w:val="21"/>
              </w:rPr>
              <w:t>    加：期初现金及现金等价物余额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1,201,313,456.73</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1,783,222,765.78</w:t>
            </w:r>
          </w:p>
        </w:tc>
      </w:tr>
      <w:tr w:rsidR="006A7F38">
        <w:trPr>
          <w:divId w:val="1255627665"/>
        </w:trPr>
        <w:tc>
          <w:tcPr>
            <w:tcW w:w="250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rPr>
                <w:rFonts w:cs="宋体"/>
                <w:szCs w:val="21"/>
              </w:rPr>
            </w:pPr>
            <w:r>
              <w:rPr>
                <w:rFonts w:cs="宋体" w:hint="eastAsia"/>
                <w:b/>
                <w:bCs/>
                <w:szCs w:val="21"/>
              </w:rPr>
              <w:t>六、期末现金及现金等价物余额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1,120,893,775.63</w:t>
            </w:r>
          </w:p>
        </w:tc>
        <w:tc>
          <w:tcPr>
            <w:tcW w:w="1250" w:type="pct"/>
            <w:tcBorders>
              <w:top w:val="outset" w:sz="6" w:space="0" w:color="auto"/>
              <w:left w:val="outset" w:sz="6" w:space="0" w:color="auto"/>
              <w:bottom w:val="outset" w:sz="6" w:space="0" w:color="auto"/>
              <w:right w:val="outset" w:sz="6" w:space="0" w:color="auto"/>
            </w:tcBorders>
            <w:vAlign w:val="center"/>
            <w:hideMark/>
          </w:tcPr>
          <w:p w:rsidR="006A7F38" w:rsidRDefault="006A7F38">
            <w:pPr>
              <w:jc w:val="right"/>
              <w:rPr>
                <w:rFonts w:cs="宋体"/>
                <w:szCs w:val="21"/>
              </w:rPr>
            </w:pPr>
            <w:r>
              <w:rPr>
                <w:rFonts w:cs="宋体" w:hint="eastAsia"/>
                <w:szCs w:val="21"/>
              </w:rPr>
              <w:t>1,163,987,168.91</w:t>
            </w:r>
          </w:p>
        </w:tc>
      </w:tr>
    </w:tbl>
    <w:p w:rsidR="006A7F38" w:rsidRDefault="006A7F38">
      <w:pPr>
        <w:divId w:val="1255627665"/>
        <w:rPr>
          <w:rFonts w:hAnsi="Times New Roman"/>
          <w:szCs w:val="18"/>
        </w:rPr>
      </w:pPr>
      <w:r>
        <w:rPr>
          <w:rFonts w:hint="eastAsia"/>
        </w:rPr>
        <w:t>公司法定代表人: 孙兆学  主管会计工作负责人:魏浩水  会计机构负责人:魏浩水</w:t>
      </w:r>
    </w:p>
    <w:p w:rsidR="006A7F38" w:rsidRDefault="006A7F38">
      <w:pPr>
        <w:divId w:val="1255627665"/>
        <w:rPr>
          <w:rFonts w:cs="宋体"/>
          <w:szCs w:val="21"/>
        </w:rPr>
      </w:pPr>
    </w:p>
    <w:p w:rsidR="00EB058B" w:rsidRPr="003E4247" w:rsidRDefault="00EB058B" w:rsidP="003E4247">
      <w:pPr>
        <w:widowControl w:val="0"/>
        <w:jc w:val="center"/>
        <w:rPr>
          <w:sz w:val="24"/>
        </w:rPr>
      </w:pPr>
    </w:p>
    <w:sectPr w:rsidR="00EB058B" w:rsidRPr="003E4247" w:rsidSect="00E8096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BDA" w:rsidRDefault="00CE6BDA">
      <w:r>
        <w:separator/>
      </w:r>
    </w:p>
  </w:endnote>
  <w:endnote w:type="continuationSeparator" w:id="1">
    <w:p w:rsidR="00CE6BDA" w:rsidRDefault="00CE6B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2C" w:rsidRDefault="00DC509C" w:rsidP="00950AC7">
    <w:pPr>
      <w:pStyle w:val="a8"/>
      <w:jc w:val="center"/>
    </w:pPr>
    <w:fldSimple w:instr=" PAGE   \* MERGEFORMAT ">
      <w:r w:rsidR="000A0F0C" w:rsidRPr="000A0F0C">
        <w:rPr>
          <w:noProof/>
          <w:lang w:val="zh-CN"/>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BDA" w:rsidRDefault="00CE6BDA">
      <w:r>
        <w:separator/>
      </w:r>
    </w:p>
  </w:footnote>
  <w:footnote w:type="continuationSeparator" w:id="1">
    <w:p w:rsidR="00CE6BDA" w:rsidRDefault="00CE6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2C" w:rsidRDefault="00BD222C" w:rsidP="006A7F38">
    <w:pPr>
      <w:pStyle w:val="a7"/>
    </w:pPr>
    <w:r>
      <w:t>600489</w:t>
    </w:r>
    <w:r>
      <w:tab/>
    </w:r>
    <w:r>
      <w:tab/>
      <w:t>中金黄金股份有限公司2013年第三季度报告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D013A8"/>
    <w:lvl w:ilvl="0">
      <w:start w:val="1"/>
      <w:numFmt w:val="decimal"/>
      <w:lvlText w:val="%1."/>
      <w:lvlJc w:val="left"/>
      <w:pPr>
        <w:tabs>
          <w:tab w:val="num" w:pos="2040"/>
        </w:tabs>
        <w:ind w:left="2040" w:hanging="360"/>
      </w:pPr>
    </w:lvl>
  </w:abstractNum>
  <w:abstractNum w:abstractNumId="1">
    <w:nsid w:val="FFFFFF7D"/>
    <w:multiLevelType w:val="singleLevel"/>
    <w:tmpl w:val="85800836"/>
    <w:lvl w:ilvl="0">
      <w:start w:val="1"/>
      <w:numFmt w:val="decimal"/>
      <w:lvlText w:val="%1."/>
      <w:lvlJc w:val="left"/>
      <w:pPr>
        <w:tabs>
          <w:tab w:val="num" w:pos="1620"/>
        </w:tabs>
        <w:ind w:left="1620" w:hanging="360"/>
      </w:pPr>
    </w:lvl>
  </w:abstractNum>
  <w:abstractNum w:abstractNumId="2">
    <w:nsid w:val="FFFFFF7E"/>
    <w:multiLevelType w:val="singleLevel"/>
    <w:tmpl w:val="95B85B00"/>
    <w:lvl w:ilvl="0">
      <w:start w:val="1"/>
      <w:numFmt w:val="decimal"/>
      <w:lvlText w:val="%1."/>
      <w:lvlJc w:val="left"/>
      <w:pPr>
        <w:tabs>
          <w:tab w:val="num" w:pos="1200"/>
        </w:tabs>
        <w:ind w:left="1200" w:hanging="360"/>
      </w:pPr>
    </w:lvl>
  </w:abstractNum>
  <w:abstractNum w:abstractNumId="3">
    <w:nsid w:val="FFFFFF7F"/>
    <w:multiLevelType w:val="singleLevel"/>
    <w:tmpl w:val="42508CFE"/>
    <w:lvl w:ilvl="0">
      <w:start w:val="1"/>
      <w:numFmt w:val="decimal"/>
      <w:lvlText w:val="%1."/>
      <w:lvlJc w:val="left"/>
      <w:pPr>
        <w:tabs>
          <w:tab w:val="num" w:pos="780"/>
        </w:tabs>
        <w:ind w:left="780" w:hanging="360"/>
      </w:pPr>
    </w:lvl>
  </w:abstractNum>
  <w:abstractNum w:abstractNumId="4">
    <w:nsid w:val="FFFFFF80"/>
    <w:multiLevelType w:val="singleLevel"/>
    <w:tmpl w:val="DFC2CD8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B3F4242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2305CB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3F4209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65E164E"/>
    <w:lvl w:ilvl="0">
      <w:start w:val="1"/>
      <w:numFmt w:val="decimal"/>
      <w:lvlText w:val="%1."/>
      <w:lvlJc w:val="left"/>
      <w:pPr>
        <w:tabs>
          <w:tab w:val="num" w:pos="360"/>
        </w:tabs>
        <w:ind w:left="360" w:hanging="360"/>
      </w:pPr>
    </w:lvl>
  </w:abstractNum>
  <w:abstractNum w:abstractNumId="9">
    <w:nsid w:val="FFFFFF89"/>
    <w:multiLevelType w:val="singleLevel"/>
    <w:tmpl w:val="7AD255EA"/>
    <w:lvl w:ilvl="0">
      <w:start w:val="1"/>
      <w:numFmt w:val="bullet"/>
      <w:lvlText w:val=""/>
      <w:lvlJc w:val="left"/>
      <w:pPr>
        <w:tabs>
          <w:tab w:val="num" w:pos="360"/>
        </w:tabs>
        <w:ind w:left="360" w:hanging="360"/>
      </w:pPr>
      <w:rPr>
        <w:rFonts w:ascii="Wingdings" w:hAnsi="Wingdings" w:hint="default"/>
      </w:rPr>
    </w:lvl>
  </w:abstractNum>
  <w:abstractNum w:abstractNumId="10">
    <w:nsid w:val="FFFFFFFB"/>
    <w:multiLevelType w:val="multilevel"/>
    <w:tmpl w:val="FFFFFFFF"/>
    <w:lvl w:ilvl="0">
      <w:start w:val="1"/>
      <w:numFmt w:val="chineseCountingThousand"/>
      <w:lvlText w:val="第%1章"/>
      <w:legacy w:legacy="1" w:legacySpace="0" w:legacyIndent="0"/>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1">
    <w:nsid w:val="3A727420"/>
    <w:multiLevelType w:val="multilevel"/>
    <w:tmpl w:val="10CA7C20"/>
    <w:name w:val="LidoGB0701"/>
    <w:lvl w:ilvl="0">
      <w:start w:val="1"/>
      <w:numFmt w:val="chineseCounting"/>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2">
    <w:nsid w:val="4477462A"/>
    <w:multiLevelType w:val="multilevel"/>
    <w:tmpl w:val="0409001D"/>
    <w:lvl w:ilvl="0">
      <w:start w:val="1"/>
      <w:numFmt w:val="decimal"/>
      <w:lvlText w:val="%1"/>
      <w:lvlJc w:val="left"/>
      <w:pPr>
        <w:tabs>
          <w:tab w:val="num" w:pos="720"/>
        </w:tabs>
        <w:ind w:left="425" w:hanging="425"/>
      </w:pPr>
    </w:lvl>
    <w:lvl w:ilvl="1">
      <w:start w:val="1"/>
      <w:numFmt w:val="decimal"/>
      <w:lvlText w:val="%1.%2"/>
      <w:lvlJc w:val="left"/>
      <w:pPr>
        <w:tabs>
          <w:tab w:val="num" w:pos="2225"/>
        </w:tabs>
        <w:ind w:left="992" w:hanging="567"/>
      </w:pPr>
    </w:lvl>
    <w:lvl w:ilvl="2">
      <w:start w:val="1"/>
      <w:numFmt w:val="decimal"/>
      <w:lvlText w:val="%1.%2.%3"/>
      <w:lvlJc w:val="left"/>
      <w:pPr>
        <w:tabs>
          <w:tab w:val="num" w:pos="3731"/>
        </w:tabs>
        <w:ind w:left="1418" w:hanging="567"/>
      </w:pPr>
    </w:lvl>
    <w:lvl w:ilvl="3">
      <w:start w:val="1"/>
      <w:numFmt w:val="decimal"/>
      <w:lvlText w:val="%1.%2.%3.%4"/>
      <w:lvlJc w:val="left"/>
      <w:pPr>
        <w:tabs>
          <w:tab w:val="num" w:pos="5596"/>
        </w:tabs>
        <w:ind w:left="1984" w:hanging="708"/>
      </w:pPr>
    </w:lvl>
    <w:lvl w:ilvl="4">
      <w:start w:val="1"/>
      <w:numFmt w:val="decimal"/>
      <w:lvlText w:val="%1.%2.%3.%4.%5"/>
      <w:lvlJc w:val="left"/>
      <w:pPr>
        <w:tabs>
          <w:tab w:val="num" w:pos="7101"/>
        </w:tabs>
        <w:ind w:left="2551" w:hanging="850"/>
      </w:pPr>
    </w:lvl>
    <w:lvl w:ilvl="5">
      <w:start w:val="1"/>
      <w:numFmt w:val="decimal"/>
      <w:lvlText w:val="%1.%2.%3.%4.%5.%6"/>
      <w:lvlJc w:val="left"/>
      <w:pPr>
        <w:tabs>
          <w:tab w:val="num" w:pos="8606"/>
        </w:tabs>
        <w:ind w:left="3260" w:hanging="1134"/>
      </w:pPr>
    </w:lvl>
    <w:lvl w:ilvl="6">
      <w:start w:val="1"/>
      <w:numFmt w:val="decimal"/>
      <w:lvlText w:val="%1.%2.%3.%4.%5.%6.%7"/>
      <w:lvlJc w:val="left"/>
      <w:pPr>
        <w:tabs>
          <w:tab w:val="num" w:pos="10111"/>
        </w:tabs>
        <w:ind w:left="3827" w:hanging="1276"/>
      </w:pPr>
    </w:lvl>
    <w:lvl w:ilvl="7">
      <w:start w:val="1"/>
      <w:numFmt w:val="decimal"/>
      <w:lvlText w:val="%1.%2.%3.%4.%5.%6.%7.%8"/>
      <w:lvlJc w:val="left"/>
      <w:pPr>
        <w:tabs>
          <w:tab w:val="num" w:pos="11616"/>
        </w:tabs>
        <w:ind w:left="4394" w:hanging="1418"/>
      </w:pPr>
    </w:lvl>
    <w:lvl w:ilvl="8">
      <w:start w:val="1"/>
      <w:numFmt w:val="decimal"/>
      <w:lvlText w:val="%1.%2.%3.%4.%5.%6.%7.%8.%9"/>
      <w:lvlJc w:val="left"/>
      <w:pPr>
        <w:tabs>
          <w:tab w:val="num" w:pos="13482"/>
        </w:tabs>
        <w:ind w:left="5102" w:hanging="170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8"/>
  </w:num>
  <w:num w:numId="6">
    <w:abstractNumId w:val="8"/>
    <w:lvlOverride w:ilvl="0">
      <w:startOverride w:val="1"/>
    </w:lvlOverride>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3"/>
  </w:num>
  <w:num w:numId="16">
    <w:abstractNumId w:val="3"/>
    <w:lvlOverride w:ilvl="0">
      <w:startOverride w:val="1"/>
    </w:lvlOverride>
  </w:num>
  <w:num w:numId="17">
    <w:abstractNumId w:val="2"/>
  </w:num>
  <w:num w:numId="18">
    <w:abstractNumId w:val="2"/>
    <w:lvlOverride w:ilvl="0">
      <w:startOverride w:val="1"/>
    </w:lvlOverride>
  </w:num>
  <w:num w:numId="19">
    <w:abstractNumId w:val="1"/>
  </w:num>
  <w:num w:numId="20">
    <w:abstractNumId w:val="1"/>
    <w:lvlOverride w:ilvl="0">
      <w:startOverride w:val="1"/>
    </w:lvlOverride>
  </w:num>
  <w:num w:numId="21">
    <w:abstractNumId w:val="0"/>
  </w:num>
  <w:num w:numId="22">
    <w:abstractNumId w:val="0"/>
    <w:lvlOverride w:ilvl="0">
      <w:startOverride w:val="1"/>
    </w:lvlOverride>
  </w:num>
  <w:num w:numId="23">
    <w:abstractNumId w:val="12"/>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noPunctuationKerning/>
  <w:characterSpacingControl w:val="compressPunctuation"/>
  <w:hdrShapeDefaults>
    <o:shapedefaults v:ext="edit" spidmax="44034"/>
  </w:hdrShapeDefaults>
  <w:footnotePr>
    <w:footnote w:id="0"/>
    <w:footnote w:id="1"/>
  </w:footnotePr>
  <w:endnotePr>
    <w:endnote w:id="0"/>
    <w:endnote w:id="1"/>
  </w:endnotePr>
  <w:compat>
    <w:useFELayout/>
  </w:compat>
  <w:rsids>
    <w:rsidRoot w:val="00C62777"/>
    <w:rsid w:val="00051A6A"/>
    <w:rsid w:val="000853F1"/>
    <w:rsid w:val="000A0F0C"/>
    <w:rsid w:val="00110A72"/>
    <w:rsid w:val="00121B37"/>
    <w:rsid w:val="00126973"/>
    <w:rsid w:val="001367D0"/>
    <w:rsid w:val="00183372"/>
    <w:rsid w:val="001F0B30"/>
    <w:rsid w:val="00230865"/>
    <w:rsid w:val="00235135"/>
    <w:rsid w:val="002811B6"/>
    <w:rsid w:val="00283BB4"/>
    <w:rsid w:val="002B5CD2"/>
    <w:rsid w:val="002D4DF4"/>
    <w:rsid w:val="002E7B37"/>
    <w:rsid w:val="00306214"/>
    <w:rsid w:val="003E4247"/>
    <w:rsid w:val="004C0C96"/>
    <w:rsid w:val="004D44DC"/>
    <w:rsid w:val="004D70E5"/>
    <w:rsid w:val="004F4BDD"/>
    <w:rsid w:val="005235A0"/>
    <w:rsid w:val="00547047"/>
    <w:rsid w:val="005739E8"/>
    <w:rsid w:val="005808CA"/>
    <w:rsid w:val="00584F7F"/>
    <w:rsid w:val="00597AE1"/>
    <w:rsid w:val="00635EBF"/>
    <w:rsid w:val="00636AAF"/>
    <w:rsid w:val="006409A4"/>
    <w:rsid w:val="00692A4A"/>
    <w:rsid w:val="006A7A5D"/>
    <w:rsid w:val="006A7F38"/>
    <w:rsid w:val="006F0E17"/>
    <w:rsid w:val="00744B1D"/>
    <w:rsid w:val="00781603"/>
    <w:rsid w:val="007A0975"/>
    <w:rsid w:val="007A4312"/>
    <w:rsid w:val="007C1B27"/>
    <w:rsid w:val="007E3218"/>
    <w:rsid w:val="007F2314"/>
    <w:rsid w:val="0087750C"/>
    <w:rsid w:val="00896FD3"/>
    <w:rsid w:val="008C7AEA"/>
    <w:rsid w:val="008F1798"/>
    <w:rsid w:val="009115A5"/>
    <w:rsid w:val="00950AC7"/>
    <w:rsid w:val="009C5C0C"/>
    <w:rsid w:val="009E369E"/>
    <w:rsid w:val="00AC68EA"/>
    <w:rsid w:val="00AD1263"/>
    <w:rsid w:val="00AF7D41"/>
    <w:rsid w:val="00B12DBA"/>
    <w:rsid w:val="00B278CA"/>
    <w:rsid w:val="00B52BD3"/>
    <w:rsid w:val="00B56718"/>
    <w:rsid w:val="00B579C4"/>
    <w:rsid w:val="00B720FA"/>
    <w:rsid w:val="00BD222C"/>
    <w:rsid w:val="00BD70CC"/>
    <w:rsid w:val="00BF0C4F"/>
    <w:rsid w:val="00C03F60"/>
    <w:rsid w:val="00C14F76"/>
    <w:rsid w:val="00C21AB0"/>
    <w:rsid w:val="00C375C4"/>
    <w:rsid w:val="00C56590"/>
    <w:rsid w:val="00C62777"/>
    <w:rsid w:val="00C6666B"/>
    <w:rsid w:val="00C85A60"/>
    <w:rsid w:val="00CE4920"/>
    <w:rsid w:val="00CE6BDA"/>
    <w:rsid w:val="00D328CD"/>
    <w:rsid w:val="00D449DA"/>
    <w:rsid w:val="00D768CD"/>
    <w:rsid w:val="00D8148E"/>
    <w:rsid w:val="00D9569D"/>
    <w:rsid w:val="00D96940"/>
    <w:rsid w:val="00DC509C"/>
    <w:rsid w:val="00DE3DED"/>
    <w:rsid w:val="00DE5E38"/>
    <w:rsid w:val="00E31784"/>
    <w:rsid w:val="00E80966"/>
    <w:rsid w:val="00E9745A"/>
    <w:rsid w:val="00EA64D9"/>
    <w:rsid w:val="00EB058B"/>
    <w:rsid w:val="00EB1EF8"/>
    <w:rsid w:val="00ED4799"/>
    <w:rsid w:val="00EF2DD0"/>
    <w:rsid w:val="00F02E44"/>
    <w:rsid w:val="00F56FE5"/>
    <w:rsid w:val="00F6543E"/>
    <w:rsid w:val="00F84BF7"/>
    <w:rsid w:val="00FA2A21"/>
    <w:rsid w:val="00FF33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966"/>
    <w:rPr>
      <w:rFonts w:ascii="宋体" w:hAnsi="宋体"/>
      <w:color w:val="000000"/>
      <w:sz w:val="21"/>
    </w:rPr>
  </w:style>
  <w:style w:type="paragraph" w:styleId="1">
    <w:name w:val="heading 1"/>
    <w:basedOn w:val="a"/>
    <w:next w:val="a"/>
    <w:link w:val="1Char"/>
    <w:uiPriority w:val="9"/>
    <w:qFormat/>
    <w:rsid w:val="00F6543E"/>
    <w:pPr>
      <w:keepNext/>
      <w:keepLines/>
      <w:widowControl w:val="0"/>
      <w:adjustRightInd w:val="0"/>
      <w:outlineLvl w:val="0"/>
    </w:pPr>
    <w:rPr>
      <w:b/>
      <w:kern w:val="44"/>
    </w:rPr>
  </w:style>
  <w:style w:type="paragraph" w:styleId="2">
    <w:name w:val="heading 2"/>
    <w:basedOn w:val="a"/>
    <w:next w:val="a"/>
    <w:link w:val="2Char"/>
    <w:uiPriority w:val="9"/>
    <w:qFormat/>
    <w:rsid w:val="00E80966"/>
    <w:pPr>
      <w:keepNext/>
      <w:keepLines/>
      <w:widowControl w:val="0"/>
      <w:numPr>
        <w:ilvl w:val="1"/>
        <w:numId w:val="2"/>
      </w:numPr>
      <w:adjustRightInd w:val="0"/>
      <w:spacing w:before="120" w:after="120" w:line="480" w:lineRule="atLeast"/>
      <w:outlineLvl w:val="1"/>
    </w:pPr>
    <w:rPr>
      <w:rFonts w:ascii="Arial" w:eastAsia="黑体" w:hAnsi="Arial"/>
      <w:b/>
    </w:rPr>
  </w:style>
  <w:style w:type="paragraph" w:styleId="3">
    <w:name w:val="heading 3"/>
    <w:basedOn w:val="a"/>
    <w:next w:val="a"/>
    <w:qFormat/>
    <w:rsid w:val="00E80966"/>
    <w:pPr>
      <w:keepNext/>
      <w:keepLines/>
      <w:widowControl w:val="0"/>
      <w:numPr>
        <w:ilvl w:val="2"/>
        <w:numId w:val="2"/>
      </w:numPr>
      <w:adjustRightInd w:val="0"/>
      <w:spacing w:after="120" w:line="480" w:lineRule="atLeast"/>
      <w:outlineLvl w:val="2"/>
    </w:pPr>
    <w:rPr>
      <w:b/>
    </w:rPr>
  </w:style>
  <w:style w:type="paragraph" w:styleId="4">
    <w:name w:val="heading 4"/>
    <w:basedOn w:val="a"/>
    <w:next w:val="a"/>
    <w:qFormat/>
    <w:rsid w:val="00E80966"/>
    <w:pPr>
      <w:keepNext/>
      <w:keepLines/>
      <w:widowControl w:val="0"/>
      <w:numPr>
        <w:ilvl w:val="3"/>
        <w:numId w:val="2"/>
      </w:numPr>
      <w:adjustRightInd w:val="0"/>
      <w:spacing w:before="280" w:after="290" w:line="376" w:lineRule="atLeast"/>
      <w:outlineLvl w:val="3"/>
    </w:pPr>
    <w:rPr>
      <w:rFonts w:ascii="Arial" w:eastAsia="黑体" w:hAnsi="Arial"/>
      <w:b/>
      <w:sz w:val="28"/>
    </w:rPr>
  </w:style>
  <w:style w:type="paragraph" w:styleId="5">
    <w:name w:val="heading 5"/>
    <w:basedOn w:val="a"/>
    <w:next w:val="a"/>
    <w:qFormat/>
    <w:rsid w:val="00E80966"/>
    <w:pPr>
      <w:keepNext/>
      <w:keepLines/>
      <w:widowControl w:val="0"/>
      <w:numPr>
        <w:ilvl w:val="4"/>
        <w:numId w:val="2"/>
      </w:numPr>
      <w:adjustRightInd w:val="0"/>
      <w:spacing w:before="280" w:after="290" w:line="376" w:lineRule="atLeast"/>
      <w:outlineLvl w:val="4"/>
    </w:pPr>
    <w:rPr>
      <w:b/>
      <w:sz w:val="28"/>
    </w:rPr>
  </w:style>
  <w:style w:type="paragraph" w:styleId="6">
    <w:name w:val="heading 6"/>
    <w:basedOn w:val="a"/>
    <w:next w:val="a"/>
    <w:qFormat/>
    <w:rsid w:val="00E80966"/>
    <w:pPr>
      <w:keepNext/>
      <w:keepLines/>
      <w:widowControl w:val="0"/>
      <w:numPr>
        <w:ilvl w:val="5"/>
        <w:numId w:val="2"/>
      </w:numPr>
      <w:adjustRightInd w:val="0"/>
      <w:spacing w:before="240" w:after="64" w:line="320" w:lineRule="atLeast"/>
      <w:outlineLvl w:val="5"/>
    </w:pPr>
    <w:rPr>
      <w:rFonts w:ascii="Arial" w:eastAsia="黑体" w:hAnsi="Arial"/>
      <w:b/>
      <w:sz w:val="24"/>
    </w:rPr>
  </w:style>
  <w:style w:type="paragraph" w:styleId="7">
    <w:name w:val="heading 7"/>
    <w:basedOn w:val="a"/>
    <w:next w:val="a"/>
    <w:qFormat/>
    <w:rsid w:val="00E80966"/>
    <w:pPr>
      <w:keepNext/>
      <w:keepLines/>
      <w:widowControl w:val="0"/>
      <w:numPr>
        <w:ilvl w:val="6"/>
        <w:numId w:val="2"/>
      </w:numPr>
      <w:adjustRightInd w:val="0"/>
      <w:spacing w:before="240" w:after="64" w:line="320" w:lineRule="atLeast"/>
      <w:outlineLvl w:val="6"/>
    </w:pPr>
    <w:rPr>
      <w:b/>
      <w:sz w:val="24"/>
    </w:rPr>
  </w:style>
  <w:style w:type="paragraph" w:styleId="8">
    <w:name w:val="heading 8"/>
    <w:basedOn w:val="a"/>
    <w:next w:val="a"/>
    <w:qFormat/>
    <w:rsid w:val="00E80966"/>
    <w:pPr>
      <w:keepNext/>
      <w:keepLines/>
      <w:widowControl w:val="0"/>
      <w:numPr>
        <w:ilvl w:val="7"/>
        <w:numId w:val="2"/>
      </w:numPr>
      <w:adjustRightInd w:val="0"/>
      <w:spacing w:before="240" w:after="64" w:line="320" w:lineRule="atLeast"/>
      <w:outlineLvl w:val="7"/>
    </w:pPr>
    <w:rPr>
      <w:rFonts w:ascii="Arial" w:eastAsia="黑体" w:hAnsi="Arial"/>
      <w:sz w:val="24"/>
    </w:rPr>
  </w:style>
  <w:style w:type="paragraph" w:styleId="9">
    <w:name w:val="heading 9"/>
    <w:basedOn w:val="a"/>
    <w:next w:val="a"/>
    <w:qFormat/>
    <w:rsid w:val="00E80966"/>
    <w:pPr>
      <w:keepNext/>
      <w:keepLines/>
      <w:widowControl w:val="0"/>
      <w:numPr>
        <w:ilvl w:val="8"/>
        <w:numId w:val="2"/>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80966"/>
    <w:rPr>
      <w:color w:val="0000FF"/>
      <w:u w:val="single"/>
    </w:rPr>
  </w:style>
  <w:style w:type="character" w:styleId="a4">
    <w:name w:val="FollowedHyperlink"/>
    <w:basedOn w:val="a0"/>
    <w:rsid w:val="00E80966"/>
    <w:rPr>
      <w:color w:val="800080"/>
      <w:u w:val="single"/>
    </w:rPr>
  </w:style>
  <w:style w:type="paragraph" w:styleId="a5">
    <w:name w:val="Normal (Web)"/>
    <w:basedOn w:val="a"/>
    <w:uiPriority w:val="99"/>
    <w:rsid w:val="00E80966"/>
    <w:pPr>
      <w:spacing w:before="100" w:beforeAutospacing="1" w:after="100" w:afterAutospacing="1"/>
    </w:pPr>
    <w:rPr>
      <w:rFonts w:hint="eastAsia"/>
      <w:sz w:val="24"/>
      <w:szCs w:val="24"/>
    </w:rPr>
  </w:style>
  <w:style w:type="paragraph" w:styleId="10">
    <w:name w:val="index 1"/>
    <w:basedOn w:val="a"/>
    <w:next w:val="a"/>
    <w:autoRedefine/>
    <w:semiHidden/>
    <w:rsid w:val="00E80966"/>
  </w:style>
  <w:style w:type="paragraph" w:styleId="20">
    <w:name w:val="index 2"/>
    <w:basedOn w:val="a"/>
    <w:next w:val="a"/>
    <w:autoRedefine/>
    <w:semiHidden/>
    <w:rsid w:val="00E80966"/>
    <w:pPr>
      <w:ind w:leftChars="200" w:left="200"/>
    </w:pPr>
  </w:style>
  <w:style w:type="paragraph" w:styleId="30">
    <w:name w:val="index 3"/>
    <w:basedOn w:val="a"/>
    <w:next w:val="a"/>
    <w:autoRedefine/>
    <w:semiHidden/>
    <w:rsid w:val="00E80966"/>
    <w:pPr>
      <w:ind w:leftChars="400" w:left="400"/>
    </w:pPr>
  </w:style>
  <w:style w:type="paragraph" w:styleId="40">
    <w:name w:val="index 4"/>
    <w:basedOn w:val="a"/>
    <w:next w:val="a"/>
    <w:autoRedefine/>
    <w:semiHidden/>
    <w:rsid w:val="00E80966"/>
    <w:pPr>
      <w:ind w:leftChars="600" w:left="600"/>
    </w:pPr>
  </w:style>
  <w:style w:type="paragraph" w:styleId="50">
    <w:name w:val="index 5"/>
    <w:basedOn w:val="a"/>
    <w:next w:val="a"/>
    <w:autoRedefine/>
    <w:semiHidden/>
    <w:rsid w:val="00E80966"/>
    <w:pPr>
      <w:ind w:leftChars="800" w:left="800"/>
    </w:pPr>
  </w:style>
  <w:style w:type="paragraph" w:styleId="60">
    <w:name w:val="index 6"/>
    <w:basedOn w:val="a"/>
    <w:next w:val="a"/>
    <w:autoRedefine/>
    <w:semiHidden/>
    <w:rsid w:val="00E80966"/>
    <w:pPr>
      <w:ind w:leftChars="1000" w:left="1000"/>
    </w:pPr>
  </w:style>
  <w:style w:type="paragraph" w:styleId="70">
    <w:name w:val="index 7"/>
    <w:basedOn w:val="a"/>
    <w:next w:val="a"/>
    <w:autoRedefine/>
    <w:semiHidden/>
    <w:rsid w:val="00E80966"/>
    <w:pPr>
      <w:ind w:leftChars="1200" w:left="1200"/>
    </w:pPr>
  </w:style>
  <w:style w:type="paragraph" w:styleId="80">
    <w:name w:val="index 8"/>
    <w:basedOn w:val="a"/>
    <w:next w:val="a"/>
    <w:autoRedefine/>
    <w:semiHidden/>
    <w:rsid w:val="00E80966"/>
    <w:pPr>
      <w:ind w:leftChars="1400" w:left="1400"/>
    </w:pPr>
  </w:style>
  <w:style w:type="paragraph" w:styleId="90">
    <w:name w:val="index 9"/>
    <w:basedOn w:val="a"/>
    <w:next w:val="a"/>
    <w:autoRedefine/>
    <w:semiHidden/>
    <w:rsid w:val="00E80966"/>
    <w:pPr>
      <w:ind w:leftChars="1600" w:left="1600"/>
    </w:pPr>
  </w:style>
  <w:style w:type="paragraph" w:styleId="a6">
    <w:name w:val="Normal Indent"/>
    <w:basedOn w:val="a"/>
    <w:rsid w:val="00E80966"/>
    <w:pPr>
      <w:widowControl w:val="0"/>
      <w:spacing w:line="500" w:lineRule="atLeast"/>
      <w:ind w:firstLine="420"/>
      <w:jc w:val="both"/>
    </w:pPr>
    <w:rPr>
      <w:rFonts w:ascii="仿宋_GB2312" w:eastAsia="仿宋_GB2312" w:hint="eastAsia"/>
      <w:kern w:val="2"/>
    </w:rPr>
  </w:style>
  <w:style w:type="paragraph" w:styleId="a7">
    <w:name w:val="header"/>
    <w:basedOn w:val="a"/>
    <w:rsid w:val="00E80966"/>
    <w:pPr>
      <w:pBdr>
        <w:bottom w:val="single" w:sz="6" w:space="1" w:color="auto"/>
      </w:pBdr>
      <w:tabs>
        <w:tab w:val="center" w:pos="4153"/>
        <w:tab w:val="right" w:pos="8306"/>
      </w:tabs>
      <w:snapToGrid w:val="0"/>
      <w:jc w:val="center"/>
    </w:pPr>
    <w:rPr>
      <w:sz w:val="18"/>
    </w:rPr>
  </w:style>
  <w:style w:type="paragraph" w:styleId="a8">
    <w:name w:val="footer"/>
    <w:basedOn w:val="a"/>
    <w:link w:val="Char"/>
    <w:uiPriority w:val="99"/>
    <w:rsid w:val="00E80966"/>
    <w:pPr>
      <w:tabs>
        <w:tab w:val="center" w:pos="4153"/>
        <w:tab w:val="right" w:pos="8306"/>
      </w:tabs>
      <w:snapToGrid w:val="0"/>
    </w:pPr>
    <w:rPr>
      <w:sz w:val="18"/>
    </w:rPr>
  </w:style>
  <w:style w:type="paragraph" w:styleId="a9">
    <w:name w:val="index heading"/>
    <w:basedOn w:val="a"/>
    <w:next w:val="10"/>
    <w:semiHidden/>
    <w:rsid w:val="00E80966"/>
  </w:style>
  <w:style w:type="paragraph" w:styleId="aa">
    <w:name w:val="List Bullet"/>
    <w:basedOn w:val="a"/>
    <w:autoRedefine/>
    <w:rsid w:val="00E80966"/>
    <w:pPr>
      <w:tabs>
        <w:tab w:val="num" w:pos="360"/>
      </w:tabs>
      <w:ind w:left="360" w:hanging="360"/>
    </w:pPr>
  </w:style>
  <w:style w:type="paragraph" w:styleId="ab">
    <w:name w:val="List Number"/>
    <w:basedOn w:val="a"/>
    <w:rsid w:val="00E80966"/>
    <w:pPr>
      <w:tabs>
        <w:tab w:val="num" w:pos="360"/>
      </w:tabs>
      <w:ind w:left="360" w:hanging="360"/>
    </w:pPr>
  </w:style>
  <w:style w:type="paragraph" w:styleId="21">
    <w:name w:val="List Bullet 2"/>
    <w:basedOn w:val="a"/>
    <w:autoRedefine/>
    <w:rsid w:val="00E80966"/>
    <w:pPr>
      <w:tabs>
        <w:tab w:val="num" w:pos="780"/>
      </w:tabs>
      <w:ind w:left="780" w:hanging="360"/>
    </w:pPr>
  </w:style>
  <w:style w:type="paragraph" w:styleId="31">
    <w:name w:val="List Bullet 3"/>
    <w:basedOn w:val="a"/>
    <w:autoRedefine/>
    <w:rsid w:val="00E80966"/>
    <w:pPr>
      <w:tabs>
        <w:tab w:val="num" w:pos="1200"/>
      </w:tabs>
      <w:ind w:left="1200" w:hanging="360"/>
    </w:pPr>
  </w:style>
  <w:style w:type="paragraph" w:styleId="41">
    <w:name w:val="List Bullet 4"/>
    <w:basedOn w:val="a"/>
    <w:autoRedefine/>
    <w:rsid w:val="00E80966"/>
    <w:pPr>
      <w:tabs>
        <w:tab w:val="num" w:pos="1620"/>
      </w:tabs>
      <w:ind w:left="1620" w:hanging="360"/>
    </w:pPr>
  </w:style>
  <w:style w:type="paragraph" w:styleId="51">
    <w:name w:val="List Bullet 5"/>
    <w:basedOn w:val="a"/>
    <w:autoRedefine/>
    <w:rsid w:val="00E80966"/>
    <w:pPr>
      <w:tabs>
        <w:tab w:val="num" w:pos="2040"/>
      </w:tabs>
      <w:ind w:left="2040" w:hanging="360"/>
    </w:pPr>
  </w:style>
  <w:style w:type="paragraph" w:styleId="22">
    <w:name w:val="List Number 2"/>
    <w:basedOn w:val="a"/>
    <w:rsid w:val="00E80966"/>
    <w:pPr>
      <w:tabs>
        <w:tab w:val="num" w:pos="780"/>
      </w:tabs>
      <w:ind w:left="780" w:hanging="360"/>
    </w:pPr>
  </w:style>
  <w:style w:type="paragraph" w:styleId="32">
    <w:name w:val="List Number 3"/>
    <w:basedOn w:val="a"/>
    <w:rsid w:val="00E80966"/>
    <w:pPr>
      <w:tabs>
        <w:tab w:val="num" w:pos="1200"/>
      </w:tabs>
      <w:ind w:left="1200" w:hanging="360"/>
    </w:pPr>
  </w:style>
  <w:style w:type="paragraph" w:styleId="42">
    <w:name w:val="List Number 4"/>
    <w:basedOn w:val="a"/>
    <w:rsid w:val="00E80966"/>
    <w:pPr>
      <w:tabs>
        <w:tab w:val="num" w:pos="1620"/>
      </w:tabs>
      <w:ind w:left="1620" w:hanging="360"/>
    </w:pPr>
  </w:style>
  <w:style w:type="paragraph" w:styleId="52">
    <w:name w:val="List Number 5"/>
    <w:basedOn w:val="a"/>
    <w:rsid w:val="00E80966"/>
    <w:pPr>
      <w:tabs>
        <w:tab w:val="num" w:pos="2040"/>
      </w:tabs>
      <w:ind w:left="2040" w:hanging="360"/>
    </w:pPr>
  </w:style>
  <w:style w:type="paragraph" w:styleId="ac">
    <w:name w:val="Body Text"/>
    <w:basedOn w:val="a"/>
    <w:rsid w:val="00E80966"/>
    <w:pPr>
      <w:jc w:val="both"/>
    </w:pPr>
    <w:rPr>
      <w:rFonts w:hint="eastAsia"/>
      <w:sz w:val="24"/>
    </w:rPr>
  </w:style>
  <w:style w:type="paragraph" w:styleId="ad">
    <w:name w:val="Body Text Indent"/>
    <w:basedOn w:val="a"/>
    <w:rsid w:val="00E80966"/>
    <w:pPr>
      <w:shd w:val="pct15" w:color="auto" w:fill="FFFFFF"/>
      <w:spacing w:line="360" w:lineRule="auto"/>
      <w:ind w:left="345"/>
    </w:pPr>
    <w:rPr>
      <w:rFonts w:hint="eastAsia"/>
    </w:rPr>
  </w:style>
  <w:style w:type="paragraph" w:styleId="ae">
    <w:name w:val="Date"/>
    <w:basedOn w:val="a"/>
    <w:next w:val="a"/>
    <w:rsid w:val="00E80966"/>
    <w:pPr>
      <w:jc w:val="both"/>
    </w:pPr>
    <w:rPr>
      <w:rFonts w:hint="eastAsia"/>
      <w:sz w:val="24"/>
    </w:rPr>
  </w:style>
  <w:style w:type="paragraph" w:styleId="23">
    <w:name w:val="Body Text 2"/>
    <w:basedOn w:val="a"/>
    <w:link w:val="2Char0"/>
    <w:uiPriority w:val="99"/>
    <w:rsid w:val="00E80966"/>
    <w:rPr>
      <w:rFonts w:hint="eastAsia"/>
      <w:sz w:val="24"/>
    </w:rPr>
  </w:style>
  <w:style w:type="paragraph" w:styleId="33">
    <w:name w:val="Body Text 3"/>
    <w:basedOn w:val="a"/>
    <w:rsid w:val="00E80966"/>
    <w:rPr>
      <w:rFonts w:hint="eastAsia"/>
      <w:sz w:val="18"/>
      <w:szCs w:val="15"/>
    </w:rPr>
  </w:style>
  <w:style w:type="paragraph" w:styleId="24">
    <w:name w:val="Body Text Indent 2"/>
    <w:basedOn w:val="a"/>
    <w:rsid w:val="00E80966"/>
    <w:pPr>
      <w:tabs>
        <w:tab w:val="left" w:pos="426"/>
        <w:tab w:val="left" w:pos="639"/>
        <w:tab w:val="left" w:pos="852"/>
        <w:tab w:val="left" w:pos="952"/>
        <w:tab w:val="left" w:pos="984"/>
        <w:tab w:val="left" w:pos="1068"/>
        <w:tab w:val="left" w:pos="1116"/>
      </w:tabs>
      <w:spacing w:line="360" w:lineRule="auto"/>
      <w:ind w:firstLine="426"/>
    </w:pPr>
  </w:style>
  <w:style w:type="paragraph" w:styleId="34">
    <w:name w:val="Body Text Indent 3"/>
    <w:basedOn w:val="a"/>
    <w:rsid w:val="00E80966"/>
    <w:pPr>
      <w:spacing w:line="360" w:lineRule="auto"/>
      <w:ind w:firstLine="252"/>
    </w:pPr>
    <w:rPr>
      <w:rFonts w:hint="eastAsia"/>
      <w:sz w:val="24"/>
    </w:rPr>
  </w:style>
  <w:style w:type="paragraph" w:styleId="af">
    <w:name w:val="Document Map"/>
    <w:basedOn w:val="a"/>
    <w:semiHidden/>
    <w:rsid w:val="00E80966"/>
    <w:pPr>
      <w:shd w:val="clear" w:color="auto" w:fill="000080"/>
    </w:pPr>
    <w:rPr>
      <w:color w:val="auto"/>
    </w:rPr>
  </w:style>
  <w:style w:type="paragraph" w:styleId="af0">
    <w:name w:val="Plain Text"/>
    <w:basedOn w:val="a"/>
    <w:rsid w:val="00E80966"/>
    <w:pPr>
      <w:widowControl w:val="0"/>
      <w:jc w:val="both"/>
    </w:pPr>
    <w:rPr>
      <w:rFonts w:hAnsi="Courier New" w:hint="eastAsia"/>
      <w:kern w:val="2"/>
      <w:sz w:val="28"/>
    </w:rPr>
  </w:style>
  <w:style w:type="character" w:customStyle="1" w:styleId="content1">
    <w:name w:val="content1"/>
    <w:basedOn w:val="a0"/>
    <w:rsid w:val="00E80966"/>
    <w:rPr>
      <w:color w:val="000000"/>
      <w:spacing w:val="400"/>
      <w:sz w:val="21"/>
      <w:szCs w:val="21"/>
    </w:rPr>
  </w:style>
  <w:style w:type="character" w:styleId="af1">
    <w:name w:val="page number"/>
    <w:basedOn w:val="a0"/>
    <w:rsid w:val="00E80966"/>
  </w:style>
  <w:style w:type="paragraph" w:styleId="11">
    <w:name w:val="toc 1"/>
    <w:basedOn w:val="a"/>
    <w:next w:val="a"/>
    <w:autoRedefine/>
    <w:uiPriority w:val="39"/>
    <w:rsid w:val="007A0975"/>
  </w:style>
  <w:style w:type="character" w:customStyle="1" w:styleId="Char">
    <w:name w:val="页脚 Char"/>
    <w:basedOn w:val="a0"/>
    <w:link w:val="a8"/>
    <w:uiPriority w:val="99"/>
    <w:rsid w:val="00AF7D41"/>
    <w:rPr>
      <w:rFonts w:ascii="宋体" w:hAnsi="宋体"/>
      <w:color w:val="000000"/>
      <w:sz w:val="18"/>
    </w:rPr>
  </w:style>
  <w:style w:type="character" w:customStyle="1" w:styleId="1Char">
    <w:name w:val="标题 1 Char"/>
    <w:basedOn w:val="a0"/>
    <w:link w:val="1"/>
    <w:uiPriority w:val="9"/>
    <w:rsid w:val="006A7F38"/>
    <w:rPr>
      <w:rFonts w:ascii="宋体" w:hAnsi="宋体"/>
      <w:b/>
      <w:color w:val="000000"/>
      <w:kern w:val="44"/>
      <w:sz w:val="21"/>
    </w:rPr>
  </w:style>
  <w:style w:type="character" w:customStyle="1" w:styleId="2Char">
    <w:name w:val="标题 2 Char"/>
    <w:basedOn w:val="a0"/>
    <w:link w:val="2"/>
    <w:uiPriority w:val="9"/>
    <w:rsid w:val="006A7F38"/>
    <w:rPr>
      <w:rFonts w:ascii="Arial" w:eastAsia="黑体" w:hAnsi="Arial"/>
      <w:b/>
      <w:color w:val="000000"/>
      <w:sz w:val="21"/>
    </w:rPr>
  </w:style>
  <w:style w:type="character" w:customStyle="1" w:styleId="2Char0">
    <w:name w:val="正文文本 2 Char"/>
    <w:basedOn w:val="a0"/>
    <w:link w:val="23"/>
    <w:uiPriority w:val="99"/>
    <w:rsid w:val="006A7F38"/>
    <w:rPr>
      <w:rFonts w:ascii="宋体" w:hAnsi="宋体"/>
      <w:color w:val="000000"/>
      <w:sz w:val="24"/>
    </w:rPr>
  </w:style>
  <w:style w:type="character" w:styleId="af2">
    <w:name w:val="Strong"/>
    <w:basedOn w:val="a0"/>
    <w:uiPriority w:val="22"/>
    <w:qFormat/>
    <w:rsid w:val="006A7F38"/>
    <w:rPr>
      <w:b/>
      <w:bCs/>
    </w:rPr>
  </w:style>
</w:styles>
</file>

<file path=word/webSettings.xml><?xml version="1.0" encoding="utf-8"?>
<w:webSettings xmlns:r="http://schemas.openxmlformats.org/officeDocument/2006/relationships" xmlns:w="http://schemas.openxmlformats.org/wordprocessingml/2006/main">
  <w:divs>
    <w:div w:id="122770271">
      <w:bodyDiv w:val="1"/>
      <w:marLeft w:val="0"/>
      <w:marRight w:val="0"/>
      <w:marTop w:val="0"/>
      <w:marBottom w:val="0"/>
      <w:divBdr>
        <w:top w:val="none" w:sz="0" w:space="0" w:color="auto"/>
        <w:left w:val="none" w:sz="0" w:space="0" w:color="auto"/>
        <w:bottom w:val="none" w:sz="0" w:space="0" w:color="auto"/>
        <w:right w:val="none" w:sz="0" w:space="0" w:color="auto"/>
      </w:divBdr>
    </w:div>
    <w:div w:id="299115371">
      <w:bodyDiv w:val="1"/>
      <w:marLeft w:val="0"/>
      <w:marRight w:val="0"/>
      <w:marTop w:val="0"/>
      <w:marBottom w:val="0"/>
      <w:divBdr>
        <w:top w:val="none" w:sz="0" w:space="0" w:color="auto"/>
        <w:left w:val="none" w:sz="0" w:space="0" w:color="auto"/>
        <w:bottom w:val="none" w:sz="0" w:space="0" w:color="auto"/>
        <w:right w:val="none" w:sz="0" w:space="0" w:color="auto"/>
      </w:divBdr>
    </w:div>
    <w:div w:id="569458932">
      <w:bodyDiv w:val="1"/>
      <w:marLeft w:val="0"/>
      <w:marRight w:val="0"/>
      <w:marTop w:val="0"/>
      <w:marBottom w:val="0"/>
      <w:divBdr>
        <w:top w:val="none" w:sz="0" w:space="0" w:color="auto"/>
        <w:left w:val="none" w:sz="0" w:space="0" w:color="auto"/>
        <w:bottom w:val="none" w:sz="0" w:space="0" w:color="auto"/>
        <w:right w:val="none" w:sz="0" w:space="0" w:color="auto"/>
      </w:divBdr>
    </w:div>
    <w:div w:id="867182695">
      <w:bodyDiv w:val="1"/>
      <w:marLeft w:val="0"/>
      <w:marRight w:val="0"/>
      <w:marTop w:val="0"/>
      <w:marBottom w:val="0"/>
      <w:divBdr>
        <w:top w:val="none" w:sz="0" w:space="0" w:color="auto"/>
        <w:left w:val="none" w:sz="0" w:space="0" w:color="auto"/>
        <w:bottom w:val="none" w:sz="0" w:space="0" w:color="auto"/>
        <w:right w:val="none" w:sz="0" w:space="0" w:color="auto"/>
      </w:divBdr>
    </w:div>
    <w:div w:id="1003901284">
      <w:bodyDiv w:val="1"/>
      <w:marLeft w:val="0"/>
      <w:marRight w:val="0"/>
      <w:marTop w:val="0"/>
      <w:marBottom w:val="0"/>
      <w:divBdr>
        <w:top w:val="none" w:sz="0" w:space="0" w:color="auto"/>
        <w:left w:val="none" w:sz="0" w:space="0" w:color="auto"/>
        <w:bottom w:val="none" w:sz="0" w:space="0" w:color="auto"/>
        <w:right w:val="none" w:sz="0" w:space="0" w:color="auto"/>
      </w:divBdr>
    </w:div>
    <w:div w:id="1110589129">
      <w:bodyDiv w:val="1"/>
      <w:marLeft w:val="0"/>
      <w:marRight w:val="0"/>
      <w:marTop w:val="0"/>
      <w:marBottom w:val="0"/>
      <w:divBdr>
        <w:top w:val="none" w:sz="0" w:space="0" w:color="auto"/>
        <w:left w:val="none" w:sz="0" w:space="0" w:color="auto"/>
        <w:bottom w:val="none" w:sz="0" w:space="0" w:color="auto"/>
        <w:right w:val="none" w:sz="0" w:space="0" w:color="auto"/>
      </w:divBdr>
    </w:div>
    <w:div w:id="1144850599">
      <w:bodyDiv w:val="1"/>
      <w:marLeft w:val="0"/>
      <w:marRight w:val="0"/>
      <w:marTop w:val="0"/>
      <w:marBottom w:val="0"/>
      <w:divBdr>
        <w:top w:val="none" w:sz="0" w:space="0" w:color="auto"/>
        <w:left w:val="none" w:sz="0" w:space="0" w:color="auto"/>
        <w:bottom w:val="none" w:sz="0" w:space="0" w:color="auto"/>
        <w:right w:val="none" w:sz="0" w:space="0" w:color="auto"/>
      </w:divBdr>
    </w:div>
    <w:div w:id="1255627665">
      <w:bodyDiv w:val="1"/>
      <w:marLeft w:val="0"/>
      <w:marRight w:val="0"/>
      <w:marTop w:val="0"/>
      <w:marBottom w:val="0"/>
      <w:divBdr>
        <w:top w:val="none" w:sz="0" w:space="0" w:color="auto"/>
        <w:left w:val="none" w:sz="0" w:space="0" w:color="auto"/>
        <w:bottom w:val="none" w:sz="0" w:space="0" w:color="auto"/>
        <w:right w:val="none" w:sz="0" w:space="0" w:color="auto"/>
      </w:divBdr>
    </w:div>
    <w:div w:id="1370104753">
      <w:bodyDiv w:val="1"/>
      <w:marLeft w:val="0"/>
      <w:marRight w:val="0"/>
      <w:marTop w:val="0"/>
      <w:marBottom w:val="0"/>
      <w:divBdr>
        <w:top w:val="none" w:sz="0" w:space="0" w:color="auto"/>
        <w:left w:val="none" w:sz="0" w:space="0" w:color="auto"/>
        <w:bottom w:val="none" w:sz="0" w:space="0" w:color="auto"/>
        <w:right w:val="none" w:sz="0" w:space="0" w:color="auto"/>
      </w:divBdr>
    </w:div>
    <w:div w:id="1464812330">
      <w:bodyDiv w:val="1"/>
      <w:marLeft w:val="0"/>
      <w:marRight w:val="0"/>
      <w:marTop w:val="0"/>
      <w:marBottom w:val="0"/>
      <w:divBdr>
        <w:top w:val="none" w:sz="0" w:space="0" w:color="auto"/>
        <w:left w:val="none" w:sz="0" w:space="0" w:color="auto"/>
        <w:bottom w:val="none" w:sz="0" w:space="0" w:color="auto"/>
        <w:right w:val="none" w:sz="0" w:space="0" w:color="auto"/>
      </w:divBdr>
    </w:div>
    <w:div w:id="152043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BC24-34C3-4BBB-A076-C0DB0CC2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17</Pages>
  <Words>2468</Words>
  <Characters>14070</Characters>
  <Application>Microsoft Office Word</Application>
  <DocSecurity>0</DocSecurity>
  <Lines>117</Lines>
  <Paragraphs>33</Paragraphs>
  <ScaleCrop>false</ScaleCrop>
  <Company/>
  <LinksUpToDate>false</LinksUpToDate>
  <CharactersWithSpaces>16505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姜杉</dc:creator>
  <cp:keywords/>
  <dc:description/>
  <cp:lastModifiedBy>姜杉</cp:lastModifiedBy>
  <cp:revision>25</cp:revision>
  <cp:lastPrinted>2013-10-28T05:59:00Z</cp:lastPrinted>
  <dcterms:created xsi:type="dcterms:W3CDTF">2013-10-18T08:52:00Z</dcterms:created>
  <dcterms:modified xsi:type="dcterms:W3CDTF">2013-10-28T07:22:00Z</dcterms:modified>
</cp:coreProperties>
</file>