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A9" w:rsidRDefault="00782A22" w:rsidP="00782A22">
      <w:pPr>
        <w:jc w:val="center"/>
        <w:rPr>
          <w:rFonts w:ascii="黑体" w:eastAsia="黑体"/>
          <w:b/>
          <w:sz w:val="32"/>
          <w:szCs w:val="32"/>
        </w:rPr>
      </w:pPr>
      <w:r>
        <w:rPr>
          <w:rFonts w:ascii="黑体" w:eastAsia="黑体" w:hint="eastAsia"/>
          <w:b/>
          <w:sz w:val="32"/>
          <w:szCs w:val="32"/>
        </w:rPr>
        <w:t>中金黄金股份有限公司</w:t>
      </w:r>
    </w:p>
    <w:p w:rsidR="001667B6" w:rsidRDefault="00782A22" w:rsidP="00782A22">
      <w:pPr>
        <w:jc w:val="center"/>
        <w:rPr>
          <w:rFonts w:ascii="黑体" w:eastAsia="黑体"/>
          <w:b/>
          <w:sz w:val="32"/>
          <w:szCs w:val="32"/>
        </w:rPr>
      </w:pPr>
      <w:r>
        <w:rPr>
          <w:rFonts w:ascii="黑体" w:eastAsia="黑体" w:hint="eastAsia"/>
          <w:b/>
          <w:sz w:val="32"/>
          <w:szCs w:val="32"/>
        </w:rPr>
        <w:t>2013年年度报告摘要</w:t>
      </w:r>
    </w:p>
    <w:p w:rsidR="00D56DF8" w:rsidRDefault="00D56DF8" w:rsidP="00D56DF8">
      <w:pPr>
        <w:rPr>
          <w:rFonts w:ascii="黑体" w:eastAsia="黑体"/>
          <w:b/>
          <w:sz w:val="32"/>
          <w:szCs w:val="32"/>
        </w:rPr>
      </w:pPr>
    </w:p>
    <w:p w:rsidR="007B019D" w:rsidRPr="00D56DF8" w:rsidRDefault="007B019D" w:rsidP="00D56DF8">
      <w:pPr>
        <w:rPr>
          <w:rFonts w:ascii="宋体" w:hAnsi="宋体"/>
          <w:szCs w:val="21"/>
        </w:rPr>
      </w:pPr>
    </w:p>
    <w:p w:rsidR="00782A22" w:rsidRDefault="00782A22">
      <w:pPr>
        <w:outlineLvl w:val="1"/>
        <w:divId w:val="156460109"/>
        <w:rPr>
          <w:b/>
          <w:bCs/>
          <w:kern w:val="36"/>
        </w:rPr>
      </w:pPr>
      <w:r>
        <w:rPr>
          <w:rFonts w:cs="宋体" w:hint="eastAsia"/>
          <w:b/>
          <w:bCs/>
          <w:kern w:val="36"/>
        </w:rPr>
        <w:t>一、</w:t>
      </w:r>
      <w:r>
        <w:rPr>
          <w:rFonts w:cs="宋体" w:hint="eastAsia"/>
          <w:b/>
          <w:bCs/>
          <w:kern w:val="36"/>
        </w:rPr>
        <w:t xml:space="preserve"> </w:t>
      </w:r>
      <w:r>
        <w:rPr>
          <w:rFonts w:hint="eastAsia"/>
          <w:b/>
          <w:bCs/>
          <w:kern w:val="36"/>
        </w:rPr>
        <w:t xml:space="preserve"> </w:t>
      </w:r>
      <w:r>
        <w:rPr>
          <w:rFonts w:hint="eastAsia"/>
          <w:b/>
          <w:bCs/>
          <w:kern w:val="36"/>
        </w:rPr>
        <w:t>重要提示</w:t>
      </w:r>
    </w:p>
    <w:p w:rsidR="00782A22" w:rsidRDefault="00782A22">
      <w:pPr>
        <w:divId w:val="156460109"/>
        <w:rPr>
          <w:kern w:val="0"/>
        </w:rPr>
      </w:pPr>
      <w:r>
        <w:rPr>
          <w:rFonts w:cs="宋体" w:hint="eastAsia"/>
        </w:rPr>
        <w:t xml:space="preserve">1.1 </w:t>
      </w:r>
      <w:r>
        <w:rPr>
          <w:rFonts w:hint="eastAsia"/>
        </w:rPr>
        <w:t xml:space="preserve"> </w:t>
      </w:r>
      <w:r>
        <w:rPr>
          <w:rFonts w:hint="eastAsia"/>
        </w:rPr>
        <w:t>本年度报告摘要摘自年度报告全文，投资者欲了解详细内容，应当仔细阅读同时刊载于上海证券交易所网站等中国证监会指定网站上的年度报告全文。</w:t>
      </w:r>
    </w:p>
    <w:p w:rsidR="00782A22" w:rsidRDefault="00782A22">
      <w:pPr>
        <w:widowControl/>
        <w:divId w:val="156460109"/>
        <w:rPr>
          <w:rFonts w:hAnsi="宋体" w:cs="宋体"/>
          <w:szCs w:val="21"/>
        </w:rPr>
      </w:pPr>
    </w:p>
    <w:p w:rsidR="00782A22" w:rsidRDefault="00782A22">
      <w:pPr>
        <w:divId w:val="156460109"/>
        <w:rPr>
          <w:szCs w:val="18"/>
        </w:rPr>
      </w:pPr>
      <w:r>
        <w:rPr>
          <w:rFonts w:cs="宋体" w:hint="eastAsia"/>
        </w:rPr>
        <w:t xml:space="preserve">1.2 </w:t>
      </w:r>
      <w:r>
        <w:rPr>
          <w:rFonts w:hint="eastAsia"/>
        </w:rPr>
        <w:t xml:space="preserve"> </w:t>
      </w:r>
      <w:r>
        <w:rPr>
          <w:rFonts w:hint="eastAsia"/>
        </w:rPr>
        <w:t>公司简介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2"/>
        <w:gridCol w:w="2066"/>
        <w:gridCol w:w="2066"/>
        <w:gridCol w:w="2066"/>
      </w:tblGrid>
      <w:tr w:rsidR="00782A22">
        <w:trPr>
          <w:divId w:val="156460109"/>
        </w:trPr>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股票简称</w:t>
            </w:r>
          </w:p>
        </w:tc>
        <w:tc>
          <w:tcPr>
            <w:tcW w:w="11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中金黄金</w:t>
            </w:r>
          </w:p>
        </w:tc>
        <w:tc>
          <w:tcPr>
            <w:tcW w:w="11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股票代码</w:t>
            </w:r>
          </w:p>
        </w:tc>
        <w:tc>
          <w:tcPr>
            <w:tcW w:w="11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600489</w:t>
            </w:r>
          </w:p>
        </w:tc>
      </w:tr>
      <w:tr w:rsidR="00782A22">
        <w:trPr>
          <w:divId w:val="156460109"/>
        </w:trPr>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股票上市交易所</w:t>
            </w:r>
          </w:p>
        </w:tc>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上海证券交易所</w:t>
            </w:r>
          </w:p>
        </w:tc>
      </w:tr>
    </w:tbl>
    <w:p w:rsidR="00782A22" w:rsidRDefault="00782A22">
      <w:pPr>
        <w:widowControl/>
        <w:divId w:val="156460109"/>
        <w:rPr>
          <w:rFonts w:hAnsi="宋体" w:cs="宋体"/>
          <w:vanish/>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0"/>
        <w:gridCol w:w="3100"/>
        <w:gridCol w:w="3100"/>
      </w:tblGrid>
      <w:tr w:rsidR="00782A22">
        <w:trPr>
          <w:divId w:val="156460109"/>
        </w:trPr>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联系人和联系方式</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董事会秘书</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证券事务代表</w:t>
            </w:r>
          </w:p>
        </w:tc>
      </w:tr>
      <w:tr w:rsidR="00782A22">
        <w:trPr>
          <w:divId w:val="156460109"/>
        </w:trPr>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姓名</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宋宪彬</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应雯</w:t>
            </w:r>
          </w:p>
        </w:tc>
      </w:tr>
      <w:tr w:rsidR="00782A22">
        <w:trPr>
          <w:divId w:val="156460109"/>
        </w:trPr>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电话</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010-56353910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010-56353909</w:t>
            </w:r>
          </w:p>
        </w:tc>
      </w:tr>
      <w:tr w:rsidR="00782A22">
        <w:trPr>
          <w:divId w:val="156460109"/>
        </w:trPr>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传真</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010-56353910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010-56353908</w:t>
            </w:r>
          </w:p>
        </w:tc>
      </w:tr>
      <w:tr w:rsidR="00782A22">
        <w:trPr>
          <w:divId w:val="156460109"/>
        </w:trPr>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电子信箱</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sxb@zjgold.com</w:t>
            </w:r>
          </w:p>
        </w:tc>
        <w:tc>
          <w:tcPr>
            <w:tcW w:w="1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yw@zjgold.com</w:t>
            </w:r>
          </w:p>
        </w:tc>
      </w:tr>
    </w:tbl>
    <w:p w:rsidR="00782A22" w:rsidRDefault="00782A22">
      <w:pPr>
        <w:widowControl/>
        <w:divId w:val="156460109"/>
        <w:rPr>
          <w:rFonts w:hAnsi="宋体" w:cs="宋体"/>
          <w:szCs w:val="21"/>
        </w:rPr>
      </w:pPr>
    </w:p>
    <w:p w:rsidR="00782A22" w:rsidRDefault="00782A22">
      <w:pPr>
        <w:outlineLvl w:val="1"/>
        <w:divId w:val="156460109"/>
        <w:rPr>
          <w:b/>
          <w:bCs/>
          <w:kern w:val="36"/>
          <w:szCs w:val="18"/>
        </w:rPr>
      </w:pPr>
      <w:r>
        <w:rPr>
          <w:rFonts w:cs="宋体" w:hint="eastAsia"/>
          <w:b/>
          <w:bCs/>
          <w:kern w:val="36"/>
        </w:rPr>
        <w:t>二、</w:t>
      </w:r>
      <w:r>
        <w:rPr>
          <w:rFonts w:cs="宋体" w:hint="eastAsia"/>
          <w:b/>
          <w:bCs/>
          <w:kern w:val="36"/>
        </w:rPr>
        <w:t xml:space="preserve"> </w:t>
      </w:r>
      <w:r>
        <w:rPr>
          <w:rFonts w:hint="eastAsia"/>
          <w:b/>
          <w:bCs/>
          <w:kern w:val="36"/>
        </w:rPr>
        <w:t xml:space="preserve"> </w:t>
      </w:r>
      <w:r>
        <w:rPr>
          <w:rFonts w:hint="eastAsia"/>
          <w:b/>
          <w:bCs/>
          <w:kern w:val="36"/>
        </w:rPr>
        <w:t>主要财务数据和股东变化</w:t>
      </w:r>
    </w:p>
    <w:p w:rsidR="00782A22" w:rsidRDefault="00782A22">
      <w:pPr>
        <w:divId w:val="156460109"/>
        <w:rPr>
          <w:kern w:val="0"/>
        </w:rPr>
      </w:pPr>
      <w:r>
        <w:rPr>
          <w:rFonts w:cs="宋体" w:hint="eastAsia"/>
        </w:rPr>
        <w:t xml:space="preserve">2.1 </w:t>
      </w:r>
      <w:r>
        <w:rPr>
          <w:rFonts w:hint="eastAsia"/>
        </w:rPr>
        <w:t xml:space="preserve"> </w:t>
      </w:r>
      <w:r>
        <w:rPr>
          <w:rFonts w:hint="eastAsia"/>
        </w:rPr>
        <w:t>主要财务数据</w:t>
      </w:r>
    </w:p>
    <w:p w:rsidR="00782A22" w:rsidRDefault="00782A22">
      <w:pPr>
        <w:jc w:val="right"/>
        <w:divId w:val="156460109"/>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86"/>
        <w:gridCol w:w="1791"/>
        <w:gridCol w:w="1791"/>
        <w:gridCol w:w="1441"/>
        <w:gridCol w:w="1791"/>
      </w:tblGrid>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w:t>
            </w:r>
            <w:r>
              <w:rPr>
                <w:rFonts w:hAnsi="宋体" w:cs="宋体" w:hint="eastAsia"/>
                <w:szCs w:val="21"/>
              </w:rPr>
              <w:t>末</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w:t>
            </w:r>
            <w:r>
              <w:rPr>
                <w:rFonts w:hAnsi="宋体" w:cs="宋体" w:hint="eastAsia"/>
                <w:szCs w:val="21"/>
              </w:rPr>
              <w:t>末</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本年</w:t>
            </w:r>
            <w:r>
              <w:rPr>
                <w:rFonts w:hAnsi="宋体" w:cs="宋体" w:hint="eastAsia"/>
                <w:szCs w:val="21"/>
              </w:rPr>
              <w:t>(</w:t>
            </w:r>
            <w:r>
              <w:rPr>
                <w:rFonts w:hAnsi="宋体" w:cs="宋体" w:hint="eastAsia"/>
                <w:szCs w:val="21"/>
              </w:rPr>
              <w:t>末</w:t>
            </w:r>
            <w:r>
              <w:rPr>
                <w:rFonts w:hAnsi="宋体" w:cs="宋体" w:hint="eastAsia"/>
                <w:szCs w:val="21"/>
              </w:rPr>
              <w:t>)</w:t>
            </w:r>
            <w:r>
              <w:rPr>
                <w:rFonts w:hAnsi="宋体" w:cs="宋体" w:hint="eastAsia"/>
                <w:szCs w:val="21"/>
              </w:rPr>
              <w:t>比上年</w:t>
            </w:r>
            <w:r>
              <w:rPr>
                <w:rFonts w:hAnsi="宋体" w:cs="宋体" w:hint="eastAsia"/>
                <w:szCs w:val="21"/>
              </w:rPr>
              <w:t>(</w:t>
            </w:r>
            <w:r>
              <w:rPr>
                <w:rFonts w:hAnsi="宋体" w:cs="宋体" w:hint="eastAsia"/>
                <w:szCs w:val="21"/>
              </w:rPr>
              <w:t>末</w:t>
            </w:r>
            <w:r>
              <w:rPr>
                <w:rFonts w:hAnsi="宋体" w:cs="宋体" w:hint="eastAsia"/>
                <w:szCs w:val="21"/>
              </w:rPr>
              <w:t>)</w:t>
            </w:r>
            <w:r>
              <w:rPr>
                <w:rFonts w:hAnsi="宋体" w:cs="宋体" w:hint="eastAsia"/>
                <w:szCs w:val="21"/>
              </w:rPr>
              <w:t>增减（</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w:t>
            </w:r>
            <w:r>
              <w:rPr>
                <w:rFonts w:hAnsi="宋体" w:cs="宋体" w:hint="eastAsia"/>
                <w:szCs w:val="21"/>
              </w:rPr>
              <w:t>末</w:t>
            </w:r>
            <w:r>
              <w:rPr>
                <w:rFonts w:hAnsi="宋体" w:cs="宋体" w:hint="eastAsia"/>
                <w:szCs w:val="21"/>
              </w:rPr>
              <w:t>)</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总资产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23,423,405,308.58</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21,495,236,710.66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8.97</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19,322,541,659.49</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归属于上市公司股东的净资产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9,975,043,724.82</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10,051,333,093.92</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8,734,712,566.67</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813,013,050.14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2,447,302,654.84</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-66.78</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1,975,399,010.95</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30,491,124,501.49</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36,051,804,515.42</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-15.42</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33,209,103,044.89</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归属于上市公司股东的净利润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431,071,078.40</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1,557,444,813.39</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-72.32</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1,816,650,505.80</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归属于上市公司股东的扣除非经常性损益的净利润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397,637,229.80</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1,526,577,218.66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-73.95</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1,628,447,711.08</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16.70</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减少</w:t>
            </w:r>
            <w:r>
              <w:rPr>
                <w:rFonts w:hAnsi="宋体" w:cs="宋体" w:hint="eastAsia"/>
                <w:szCs w:val="21"/>
              </w:rPr>
              <w:t>12.37</w:t>
            </w:r>
            <w:r>
              <w:rPr>
                <w:rFonts w:hAnsi="宋体" w:cs="宋体" w:hint="eastAsia"/>
                <w:szCs w:val="21"/>
              </w:rPr>
              <w:t>个百分点</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28.52</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基本每股收益（元／股）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-71.70</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0.64</w:t>
            </w:r>
          </w:p>
        </w:tc>
      </w:tr>
      <w:tr w:rsidR="00782A22">
        <w:trPr>
          <w:divId w:val="156460109"/>
        </w:trPr>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稀释每股收益（元／股）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-71.70</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0.64</w:t>
            </w:r>
          </w:p>
        </w:tc>
      </w:tr>
    </w:tbl>
    <w:p w:rsidR="00782A22" w:rsidRDefault="00782A22">
      <w:pPr>
        <w:widowControl/>
        <w:divId w:val="156460109"/>
        <w:rPr>
          <w:rFonts w:hAnsi="宋体" w:cs="宋体"/>
          <w:szCs w:val="21"/>
        </w:rPr>
      </w:pPr>
    </w:p>
    <w:p w:rsidR="007B019D" w:rsidRDefault="007B019D">
      <w:pPr>
        <w:widowControl/>
        <w:divId w:val="156460109"/>
        <w:rPr>
          <w:rFonts w:hAnsi="宋体" w:cs="宋体"/>
          <w:szCs w:val="21"/>
        </w:rPr>
      </w:pPr>
    </w:p>
    <w:p w:rsidR="007B019D" w:rsidRDefault="007B019D">
      <w:pPr>
        <w:divId w:val="156460109"/>
        <w:rPr>
          <w:rFonts w:cs="宋体"/>
        </w:rPr>
      </w:pPr>
    </w:p>
    <w:p w:rsidR="00782A22" w:rsidRDefault="00782A22">
      <w:pPr>
        <w:divId w:val="156460109"/>
        <w:rPr>
          <w:szCs w:val="18"/>
        </w:rPr>
      </w:pPr>
      <w:r>
        <w:rPr>
          <w:rFonts w:cs="宋体" w:hint="eastAsia"/>
        </w:rPr>
        <w:t xml:space="preserve">2.2 </w:t>
      </w:r>
      <w:r>
        <w:rPr>
          <w:rFonts w:hint="eastAsia"/>
        </w:rPr>
        <w:t xml:space="preserve"> </w:t>
      </w:r>
      <w:r>
        <w:rPr>
          <w:rFonts w:hint="eastAsia"/>
        </w:rPr>
        <w:t>前</w:t>
      </w:r>
      <w:r>
        <w:rPr>
          <w:rFonts w:hint="eastAsia"/>
        </w:rPr>
        <w:t>10</w:t>
      </w:r>
      <w:r>
        <w:rPr>
          <w:rFonts w:hint="eastAsia"/>
        </w:rPr>
        <w:t>名股东持股情况表</w:t>
      </w:r>
    </w:p>
    <w:p w:rsidR="00782A22" w:rsidRDefault="00782A22">
      <w:pPr>
        <w:jc w:val="right"/>
        <w:divId w:val="156460109"/>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917"/>
        <w:gridCol w:w="1080"/>
        <w:gridCol w:w="57"/>
        <w:gridCol w:w="1080"/>
        <w:gridCol w:w="1424"/>
        <w:gridCol w:w="1545"/>
        <w:gridCol w:w="2197"/>
      </w:tblGrid>
      <w:tr w:rsidR="00782A22">
        <w:trPr>
          <w:divId w:val="156460109"/>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报告期股东总数</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324,984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年度报告披露日前第</w:t>
            </w:r>
            <w:r>
              <w:rPr>
                <w:rFonts w:hAnsi="宋体" w:cs="宋体" w:hint="eastAsia"/>
                <w:szCs w:val="21"/>
              </w:rPr>
              <w:t>5</w:t>
            </w:r>
            <w:r>
              <w:rPr>
                <w:rFonts w:hAnsi="宋体" w:cs="宋体" w:hint="eastAsia"/>
                <w:szCs w:val="21"/>
              </w:rPr>
              <w:t>个交易日末股东总数</w:t>
            </w:r>
          </w:p>
        </w:tc>
        <w:tc>
          <w:tcPr>
            <w:tcW w:w="0" w:type="auto"/>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318,714</w:t>
            </w:r>
          </w:p>
        </w:tc>
      </w:tr>
      <w:tr w:rsidR="00782A22">
        <w:trPr>
          <w:divId w:val="156460109"/>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前</w:t>
            </w:r>
            <w:r>
              <w:rPr>
                <w:rFonts w:hAnsi="宋体" w:cs="宋体" w:hint="eastAsia"/>
                <w:szCs w:val="21"/>
              </w:rPr>
              <w:t>10</w:t>
            </w:r>
            <w:r>
              <w:rPr>
                <w:rFonts w:hAnsi="宋体" w:cs="宋体" w:hint="eastAsia"/>
                <w:szCs w:val="21"/>
              </w:rPr>
              <w:t>名股东持股情况</w:t>
            </w: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股东名称</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股东性质</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持股比例</w:t>
            </w:r>
            <w:r>
              <w:rPr>
                <w:rFonts w:hAnsi="宋体" w:cs="宋体" w:hint="eastAsia"/>
                <w:szCs w:val="21"/>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持股总数</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持有有限售条件股份数量</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center"/>
              <w:rPr>
                <w:rFonts w:ascii="宋体" w:hAnsi="宋体" w:cs="宋体"/>
                <w:szCs w:val="21"/>
              </w:rPr>
            </w:pPr>
            <w:r>
              <w:rPr>
                <w:rFonts w:hAnsi="宋体" w:cs="宋体" w:hint="eastAsia"/>
                <w:szCs w:val="21"/>
              </w:rPr>
              <w:t>质押或冻结的股份数量</w:t>
            </w: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中国黄金集团公司</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国有法人</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50.01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1,471,888,685</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中国人民财产保险股份有限公司－传统－普通保险产品－</w:t>
            </w:r>
            <w:r>
              <w:rPr>
                <w:rFonts w:hAnsi="宋体" w:cs="宋体" w:hint="eastAsia"/>
                <w:szCs w:val="21"/>
              </w:rPr>
              <w:t>008C</w:t>
            </w:r>
            <w:r>
              <w:rPr>
                <w:rFonts w:hAnsi="宋体" w:cs="宋体" w:hint="eastAsia"/>
                <w:szCs w:val="21"/>
              </w:rPr>
              <w:t>－</w:t>
            </w:r>
            <w:r>
              <w:rPr>
                <w:rFonts w:hAnsi="宋体" w:cs="宋体" w:hint="eastAsia"/>
                <w:szCs w:val="21"/>
              </w:rPr>
              <w:t>CT001</w:t>
            </w:r>
            <w:r>
              <w:rPr>
                <w:rFonts w:hAnsi="宋体" w:cs="宋体" w:hint="eastAsia"/>
                <w:szCs w:val="21"/>
              </w:rPr>
              <w:t>沪</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1.35</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39,751,580</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建银国际资本管理（天津）有限公司</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29,500,000</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中国工商银行－南方隆元产业主题股票型证券投资基金</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0.61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17,969,049</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上海彤卉实业有限公司</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0.59</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17,300,762</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中国人民人寿保险股份有限公司－万能－个险万能</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0.52</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15,171,659</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宁波青春投资有限公司</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0.51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15,000,000</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中国人民人寿保险股份有限公司－分红－个险分红</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0.49</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14,480,622</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中国工商银行－上证</w:t>
            </w:r>
            <w:r>
              <w:rPr>
                <w:rFonts w:hAnsi="宋体" w:cs="宋体" w:hint="eastAsia"/>
                <w:szCs w:val="21"/>
              </w:rPr>
              <w:t>50</w:t>
            </w:r>
            <w:r>
              <w:rPr>
                <w:rFonts w:hAnsi="宋体" w:cs="宋体" w:hint="eastAsia"/>
                <w:szCs w:val="21"/>
              </w:rPr>
              <w:t>交易型开放式指数证券投资基金</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0.48</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14,265,056</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0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中国证券金融股份有限公司转融通担保证券账户</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其他</w:t>
            </w:r>
          </w:p>
        </w:tc>
        <w:tc>
          <w:tcPr>
            <w:tcW w:w="60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0.39</w:t>
            </w:r>
          </w:p>
        </w:tc>
        <w:tc>
          <w:tcPr>
            <w:tcW w:w="6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11,466,620</w:t>
            </w:r>
          </w:p>
        </w:tc>
        <w:tc>
          <w:tcPr>
            <w:tcW w:w="850" w:type="pct"/>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jc w:val="right"/>
              <w:rPr>
                <w:rFonts w:ascii="宋体" w:hAnsi="宋体" w:cs="宋体"/>
                <w:szCs w:val="21"/>
              </w:rPr>
            </w:pPr>
            <w:r>
              <w:rPr>
                <w:rFonts w:hAnsi="宋体" w:cs="宋体" w:hint="eastAsia"/>
                <w:szCs w:val="21"/>
              </w:rPr>
              <w:t>0</w:t>
            </w:r>
          </w:p>
        </w:tc>
        <w:tc>
          <w:tcPr>
            <w:tcW w:w="10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091"/>
              <w:gridCol w:w="1091"/>
            </w:tblGrid>
            <w:tr w:rsidR="00782A22">
              <w:tc>
                <w:tcPr>
                  <w:tcW w:w="2500" w:type="pct"/>
                  <w:vAlign w:val="center"/>
                  <w:hideMark/>
                </w:tcPr>
                <w:p w:rsidR="00782A22" w:rsidRDefault="00782A22">
                  <w:pPr>
                    <w:widowControl/>
                    <w:rPr>
                      <w:rFonts w:ascii="宋体" w:hAnsi="宋体" w:cs="宋体"/>
                      <w:szCs w:val="21"/>
                    </w:rPr>
                  </w:pPr>
                  <w:r>
                    <w:rPr>
                      <w:rFonts w:hAnsi="宋体" w:cs="宋体" w:hint="eastAsia"/>
                      <w:szCs w:val="21"/>
                    </w:rPr>
                    <w:t>无</w:t>
                  </w:r>
                </w:p>
              </w:tc>
              <w:tc>
                <w:tcPr>
                  <w:tcW w:w="2500" w:type="pct"/>
                  <w:vAlign w:val="center"/>
                  <w:hideMark/>
                </w:tcPr>
                <w:p w:rsidR="00782A22" w:rsidRDefault="00782A22">
                  <w:pPr>
                    <w:widowControl/>
                    <w:jc w:val="right"/>
                    <w:rPr>
                      <w:rFonts w:ascii="宋体" w:hAnsi="宋体" w:cs="宋体"/>
                      <w:szCs w:val="21"/>
                    </w:rPr>
                  </w:pPr>
                  <w:r>
                    <w:rPr>
                      <w:rFonts w:hAnsi="宋体" w:cs="宋体" w:hint="eastAsia"/>
                      <w:szCs w:val="21"/>
                    </w:rPr>
                    <w:t>0</w:t>
                  </w:r>
                </w:p>
              </w:tc>
            </w:tr>
          </w:tbl>
          <w:p w:rsidR="00782A22" w:rsidRDefault="00782A22">
            <w:pPr>
              <w:widowControl/>
              <w:rPr>
                <w:rFonts w:ascii="宋体" w:hAnsi="宋体" w:cs="宋体"/>
                <w:szCs w:val="21"/>
              </w:rPr>
            </w:pPr>
          </w:p>
        </w:tc>
      </w:tr>
      <w:tr w:rsidR="00782A22">
        <w:trPr>
          <w:divId w:val="156460109"/>
        </w:trPr>
        <w:tc>
          <w:tcPr>
            <w:tcW w:w="1650" w:type="pct"/>
            <w:gridSpan w:val="2"/>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上述股东关联关系或一致行动的说明</w:t>
            </w:r>
          </w:p>
        </w:tc>
        <w:tc>
          <w:tcPr>
            <w:tcW w:w="3350" w:type="pct"/>
            <w:gridSpan w:val="5"/>
            <w:tcBorders>
              <w:top w:val="outset" w:sz="6" w:space="0" w:color="auto"/>
              <w:left w:val="outset" w:sz="6" w:space="0" w:color="auto"/>
              <w:bottom w:val="outset" w:sz="6" w:space="0" w:color="auto"/>
              <w:right w:val="outset" w:sz="6" w:space="0" w:color="auto"/>
            </w:tcBorders>
            <w:vAlign w:val="center"/>
            <w:hideMark/>
          </w:tcPr>
          <w:p w:rsidR="00782A22" w:rsidRDefault="00782A22">
            <w:pPr>
              <w:widowControl/>
              <w:rPr>
                <w:rFonts w:ascii="宋体" w:hAnsi="宋体" w:cs="宋体"/>
                <w:szCs w:val="21"/>
              </w:rPr>
            </w:pPr>
            <w:r>
              <w:rPr>
                <w:rFonts w:hAnsi="宋体" w:cs="宋体" w:hint="eastAsia"/>
                <w:szCs w:val="21"/>
              </w:rPr>
              <w:t>公司未知上述股东之间是否存在关联关系或属于《上市公司收购管理办法》规定的一致行动人。</w:t>
            </w:r>
            <w:r>
              <w:rPr>
                <w:rFonts w:hAnsi="宋体" w:cs="宋体" w:hint="eastAsia"/>
                <w:szCs w:val="21"/>
              </w:rPr>
              <w:t xml:space="preserve"> </w:t>
            </w:r>
          </w:p>
        </w:tc>
      </w:tr>
    </w:tbl>
    <w:p w:rsidR="00782A22" w:rsidRDefault="00782A22">
      <w:pPr>
        <w:widowControl/>
        <w:divId w:val="156460109"/>
        <w:rPr>
          <w:rFonts w:hAnsi="宋体" w:cs="宋体"/>
          <w:szCs w:val="21"/>
        </w:rPr>
      </w:pPr>
    </w:p>
    <w:p w:rsidR="007B019D" w:rsidRDefault="007B019D">
      <w:pPr>
        <w:widowControl/>
        <w:divId w:val="156460109"/>
        <w:rPr>
          <w:rFonts w:hAnsi="宋体" w:cs="宋体"/>
          <w:szCs w:val="21"/>
        </w:rPr>
      </w:pPr>
    </w:p>
    <w:p w:rsidR="007B019D" w:rsidRDefault="007B019D">
      <w:pPr>
        <w:widowControl/>
        <w:divId w:val="156460109"/>
        <w:rPr>
          <w:rFonts w:hAnsi="宋体" w:cs="宋体"/>
          <w:szCs w:val="21"/>
        </w:rPr>
      </w:pPr>
    </w:p>
    <w:p w:rsidR="007B019D" w:rsidRDefault="007B019D">
      <w:pPr>
        <w:widowControl/>
        <w:divId w:val="156460109"/>
        <w:rPr>
          <w:rFonts w:hAnsi="宋体" w:cs="宋体"/>
          <w:szCs w:val="21"/>
        </w:rPr>
      </w:pPr>
    </w:p>
    <w:p w:rsidR="007B019D" w:rsidRDefault="007B019D">
      <w:pPr>
        <w:widowControl/>
        <w:divId w:val="156460109"/>
        <w:rPr>
          <w:rFonts w:hAnsi="宋体" w:cs="宋体"/>
          <w:szCs w:val="21"/>
        </w:rPr>
      </w:pPr>
    </w:p>
    <w:p w:rsidR="007B019D" w:rsidRDefault="007B019D">
      <w:pPr>
        <w:widowControl/>
        <w:divId w:val="156460109"/>
        <w:rPr>
          <w:rFonts w:hAnsi="宋体" w:cs="宋体"/>
          <w:szCs w:val="21"/>
        </w:rPr>
      </w:pPr>
    </w:p>
    <w:p w:rsidR="007B019D" w:rsidRDefault="007B019D">
      <w:pPr>
        <w:widowControl/>
        <w:divId w:val="156460109"/>
        <w:rPr>
          <w:rFonts w:hAnsi="宋体" w:cs="宋体"/>
          <w:szCs w:val="21"/>
        </w:rPr>
      </w:pPr>
    </w:p>
    <w:p w:rsidR="007B019D" w:rsidRDefault="007B019D">
      <w:pPr>
        <w:widowControl/>
        <w:divId w:val="156460109"/>
        <w:rPr>
          <w:rFonts w:hAnsi="宋体" w:cs="宋体"/>
          <w:szCs w:val="21"/>
        </w:rPr>
      </w:pPr>
    </w:p>
    <w:p w:rsidR="00782A22" w:rsidRDefault="00782A22">
      <w:pPr>
        <w:divId w:val="156460109"/>
        <w:rPr>
          <w:szCs w:val="18"/>
        </w:rPr>
      </w:pPr>
      <w:r>
        <w:rPr>
          <w:rFonts w:cs="宋体" w:hint="eastAsia"/>
        </w:rPr>
        <w:t xml:space="preserve">2.3 </w:t>
      </w:r>
      <w:r>
        <w:rPr>
          <w:rFonts w:hint="eastAsia"/>
        </w:rPr>
        <w:t xml:space="preserve"> </w:t>
      </w:r>
      <w:r>
        <w:rPr>
          <w:rFonts w:hint="eastAsia"/>
        </w:rPr>
        <w:t>以方框图描述公司与实际控制人之间的产权及控制关系</w:t>
      </w:r>
    </w:p>
    <w:p w:rsidR="00782A22" w:rsidRDefault="00782A22">
      <w:pPr>
        <w:divId w:val="156460109"/>
      </w:pPr>
      <w:r>
        <w:rPr>
          <w:rFonts w:hint="eastAsia"/>
          <w:noProof/>
        </w:rPr>
        <w:drawing>
          <wp:inline distT="0" distB="0" distL="0" distR="0">
            <wp:extent cx="5267325" cy="2962275"/>
            <wp:effectExtent l="19050" t="0" r="9525" b="0"/>
            <wp:docPr id="1" name="图片 1" descr="C:\stockInfo\_chapter\15日17点2013年年度报告_600489\instance\新建位图图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ockInfo\_chapter\15日17点2013年年度报告_600489\instance\新建位图图像.bmp"/>
                    <pic:cNvPicPr>
                      <a:picLocks noChangeAspect="1" noChangeArrowheads="1"/>
                    </pic:cNvPicPr>
                  </pic:nvPicPr>
                  <pic:blipFill>
                    <a:blip r:embed="rId7"/>
                    <a:srcRect/>
                    <a:stretch>
                      <a:fillRect/>
                    </a:stretch>
                  </pic:blipFill>
                  <pic:spPr bwMode="auto">
                    <a:xfrm>
                      <a:off x="0" y="0"/>
                      <a:ext cx="5267325" cy="2962275"/>
                    </a:xfrm>
                    <a:prstGeom prst="rect">
                      <a:avLst/>
                    </a:prstGeom>
                    <a:noFill/>
                    <a:ln w="9525">
                      <a:noFill/>
                      <a:miter lim="800000"/>
                      <a:headEnd/>
                      <a:tailEnd/>
                    </a:ln>
                  </pic:spPr>
                </pic:pic>
              </a:graphicData>
            </a:graphic>
          </wp:inline>
        </w:drawing>
      </w:r>
    </w:p>
    <w:p w:rsidR="00782A22" w:rsidRDefault="00782A22">
      <w:pPr>
        <w:widowControl/>
        <w:divId w:val="156460109"/>
        <w:rPr>
          <w:rFonts w:hAnsi="宋体" w:cs="宋体"/>
          <w:szCs w:val="21"/>
        </w:rPr>
      </w:pPr>
    </w:p>
    <w:p w:rsidR="00782A22" w:rsidRPr="00743B5F" w:rsidRDefault="00782A22" w:rsidP="00743B5F">
      <w:pPr>
        <w:adjustRightInd w:val="0"/>
        <w:snapToGrid w:val="0"/>
        <w:outlineLvl w:val="1"/>
        <w:divId w:val="156460109"/>
        <w:rPr>
          <w:rFonts w:asciiTheme="minorEastAsia" w:eastAsiaTheme="minorEastAsia" w:hAnsiTheme="minorEastAsia"/>
          <w:b/>
          <w:bCs/>
          <w:kern w:val="36"/>
          <w:szCs w:val="18"/>
        </w:rPr>
      </w:pPr>
      <w:r w:rsidRPr="00743B5F">
        <w:rPr>
          <w:rFonts w:asciiTheme="minorEastAsia" w:eastAsiaTheme="minorEastAsia" w:hAnsiTheme="minorEastAsia" w:cs="宋体" w:hint="eastAsia"/>
          <w:b/>
          <w:bCs/>
          <w:kern w:val="36"/>
        </w:rPr>
        <w:t xml:space="preserve">三、 </w:t>
      </w:r>
      <w:r w:rsidRPr="00743B5F">
        <w:rPr>
          <w:rFonts w:asciiTheme="minorEastAsia" w:eastAsiaTheme="minorEastAsia" w:hAnsiTheme="minorEastAsia" w:hint="eastAsia"/>
          <w:b/>
          <w:bCs/>
          <w:kern w:val="36"/>
        </w:rPr>
        <w:t xml:space="preserve"> 管理层讨论与分析</w:t>
      </w:r>
    </w:p>
    <w:p w:rsidR="00743B5F" w:rsidRPr="00743B5F" w:rsidRDefault="00743B5F" w:rsidP="00743B5F">
      <w:pPr>
        <w:adjustRightInd w:val="0"/>
        <w:snapToGrid w:val="0"/>
        <w:ind w:firstLineChars="200" w:firstLine="420"/>
        <w:jc w:val="left"/>
        <w:divId w:val="156460109"/>
        <w:rPr>
          <w:rFonts w:asciiTheme="minorEastAsia" w:eastAsiaTheme="minorEastAsia" w:hAnsiTheme="minorEastAsia" w:cs="宋体"/>
          <w:szCs w:val="21"/>
        </w:rPr>
      </w:pPr>
    </w:p>
    <w:p w:rsidR="00743B5F" w:rsidRPr="00743B5F" w:rsidRDefault="007B019D" w:rsidP="005A28B2">
      <w:pPr>
        <w:adjustRightInd w:val="0"/>
        <w:snapToGrid w:val="0"/>
        <w:ind w:firstLineChars="200" w:firstLine="422"/>
        <w:jc w:val="left"/>
        <w:divId w:val="156460109"/>
        <w:rPr>
          <w:rFonts w:asciiTheme="minorEastAsia" w:eastAsiaTheme="minorEastAsia" w:hAnsiTheme="minorEastAsia" w:cs="宋体"/>
          <w:szCs w:val="21"/>
        </w:rPr>
      </w:pPr>
      <w:r w:rsidRPr="00743B5F">
        <w:rPr>
          <w:rFonts w:asciiTheme="minorEastAsia" w:eastAsiaTheme="minorEastAsia" w:hAnsiTheme="minorEastAsia" w:hint="eastAsia"/>
          <w:b/>
          <w:bCs/>
          <w:kern w:val="36"/>
        </w:rPr>
        <w:t>报告期内主要工作</w:t>
      </w:r>
    </w:p>
    <w:p w:rsidR="005A28B2" w:rsidRPr="00717FED" w:rsidRDefault="005A28B2" w:rsidP="005A28B2">
      <w:pPr>
        <w:adjustRightInd w:val="0"/>
        <w:snapToGrid w:val="0"/>
        <w:ind w:firstLineChars="200" w:firstLine="420"/>
        <w:jc w:val="left"/>
        <w:divId w:val="156460109"/>
        <w:rPr>
          <w:b/>
          <w:szCs w:val="21"/>
        </w:rPr>
      </w:pPr>
      <w:r w:rsidRPr="00717FED">
        <w:rPr>
          <w:rFonts w:asciiTheme="minorEastAsia" w:hAnsiTheme="minorEastAsia" w:hint="eastAsia"/>
          <w:szCs w:val="21"/>
        </w:rPr>
        <w:t>2013年是公司面临市场形势转折、进入新的发展时期的重要</w:t>
      </w:r>
      <w:r>
        <w:rPr>
          <w:rFonts w:asciiTheme="minorEastAsia" w:hAnsiTheme="minorEastAsia" w:hint="eastAsia"/>
          <w:szCs w:val="21"/>
        </w:rPr>
        <w:t>一年</w:t>
      </w:r>
      <w:r w:rsidRPr="00717FED">
        <w:rPr>
          <w:rFonts w:asciiTheme="minorEastAsia" w:hAnsiTheme="minorEastAsia" w:hint="eastAsia"/>
          <w:szCs w:val="21"/>
        </w:rPr>
        <w:t>。在全体股东和社会各界的关心支持下，面对金价下行、有色金属产品价格大幅波动的巨大压力，公司正视困难、坚定信心，在生产经营中降本增效、提升管理水平、狠抓安全环保，认真贯彻落实股东大会的各项决议，推动公司生产经营工作取得了良好的成绩。</w:t>
      </w:r>
    </w:p>
    <w:p w:rsidR="005A28B2" w:rsidRPr="00717FED" w:rsidRDefault="005A28B2" w:rsidP="005A28B2">
      <w:pPr>
        <w:adjustRightInd w:val="0"/>
        <w:snapToGrid w:val="0"/>
        <w:ind w:firstLineChars="200" w:firstLine="420"/>
        <w:jc w:val="left"/>
        <w:divId w:val="156460109"/>
        <w:rPr>
          <w:rFonts w:asciiTheme="minorEastAsia" w:hAnsiTheme="minorEastAsia"/>
          <w:szCs w:val="21"/>
        </w:rPr>
      </w:pPr>
      <w:r w:rsidRPr="00717FED">
        <w:rPr>
          <w:rFonts w:asciiTheme="minorEastAsia" w:hAnsiTheme="minorEastAsia" w:hint="eastAsia"/>
          <w:szCs w:val="21"/>
        </w:rPr>
        <w:t>（一）各项生产经营指标总体平稳</w:t>
      </w:r>
    </w:p>
    <w:p w:rsidR="005A28B2" w:rsidRPr="00717FED" w:rsidRDefault="005A28B2" w:rsidP="005A28B2">
      <w:pPr>
        <w:adjustRightInd w:val="0"/>
        <w:snapToGrid w:val="0"/>
        <w:ind w:firstLineChars="200" w:firstLine="420"/>
        <w:jc w:val="left"/>
        <w:divId w:val="156460109"/>
        <w:rPr>
          <w:rFonts w:asciiTheme="minorEastAsia" w:hAnsiTheme="minorEastAsia"/>
          <w:szCs w:val="21"/>
        </w:rPr>
      </w:pPr>
      <w:r w:rsidRPr="00717FED">
        <w:rPr>
          <w:rFonts w:asciiTheme="minorEastAsia" w:hAnsiTheme="minorEastAsia" w:hint="eastAsia"/>
          <w:szCs w:val="21"/>
        </w:rPr>
        <w:t>截止</w:t>
      </w:r>
      <w:r w:rsidRPr="00717FED">
        <w:rPr>
          <w:rFonts w:asciiTheme="minorEastAsia" w:hAnsiTheme="minorEastAsia"/>
          <w:szCs w:val="21"/>
        </w:rPr>
        <w:t>201</w:t>
      </w:r>
      <w:r w:rsidRPr="00717FED">
        <w:rPr>
          <w:rFonts w:asciiTheme="minorEastAsia" w:hAnsiTheme="minorEastAsia" w:hint="eastAsia"/>
          <w:szCs w:val="21"/>
        </w:rPr>
        <w:t>3年底，公司各项生产经营指标基本平稳，总资产234.23亿元，净资产</w:t>
      </w:r>
      <w:r>
        <w:rPr>
          <w:rFonts w:asciiTheme="minorEastAsia" w:hAnsiTheme="minorEastAsia" w:hint="eastAsia"/>
          <w:szCs w:val="21"/>
        </w:rPr>
        <w:t>117</w:t>
      </w:r>
      <w:r w:rsidRPr="00717FED">
        <w:rPr>
          <w:rFonts w:asciiTheme="minorEastAsia" w:hAnsiTheme="minorEastAsia" w:hint="eastAsia"/>
          <w:szCs w:val="21"/>
        </w:rPr>
        <w:t>.</w:t>
      </w:r>
      <w:r>
        <w:rPr>
          <w:rFonts w:asciiTheme="minorEastAsia" w:hAnsiTheme="minorEastAsia" w:hint="eastAsia"/>
          <w:szCs w:val="21"/>
        </w:rPr>
        <w:t>72</w:t>
      </w:r>
      <w:r w:rsidRPr="00717FED">
        <w:rPr>
          <w:rFonts w:asciiTheme="minorEastAsia" w:hAnsiTheme="minorEastAsia" w:hint="eastAsia"/>
          <w:szCs w:val="21"/>
        </w:rPr>
        <w:t>亿元，销售收入304.91亿元，利润总额9.63亿元，归属于母公司净利润4.31亿元，较上年度分别增加8.97</w:t>
      </w:r>
      <w:r w:rsidRPr="00717FED">
        <w:rPr>
          <w:rFonts w:asciiTheme="minorEastAsia" w:hAnsiTheme="minorEastAsia"/>
          <w:szCs w:val="21"/>
        </w:rPr>
        <w:t>%</w:t>
      </w:r>
      <w:r w:rsidRPr="00717FED">
        <w:rPr>
          <w:rFonts w:asciiTheme="minorEastAsia" w:hAnsiTheme="minorEastAsia" w:hint="eastAsia"/>
          <w:szCs w:val="21"/>
        </w:rPr>
        <w:t>，</w:t>
      </w:r>
      <w:r>
        <w:rPr>
          <w:rFonts w:asciiTheme="minorEastAsia" w:hAnsiTheme="minorEastAsia" w:hint="eastAsia"/>
          <w:szCs w:val="21"/>
        </w:rPr>
        <w:t>-2.26</w:t>
      </w:r>
      <w:r w:rsidRPr="00717FED">
        <w:rPr>
          <w:rFonts w:asciiTheme="minorEastAsia" w:hAnsiTheme="minorEastAsia"/>
          <w:szCs w:val="21"/>
        </w:rPr>
        <w:t xml:space="preserve"> %</w:t>
      </w:r>
      <w:r w:rsidRPr="00717FED">
        <w:rPr>
          <w:rFonts w:asciiTheme="minorEastAsia" w:hAnsiTheme="minorEastAsia" w:hint="eastAsia"/>
          <w:szCs w:val="21"/>
        </w:rPr>
        <w:t>，-15.42</w:t>
      </w:r>
      <w:r w:rsidRPr="00717FED">
        <w:rPr>
          <w:rFonts w:asciiTheme="minorEastAsia" w:hAnsiTheme="minorEastAsia"/>
          <w:szCs w:val="21"/>
        </w:rPr>
        <w:t xml:space="preserve"> %</w:t>
      </w:r>
      <w:r w:rsidRPr="00717FED">
        <w:rPr>
          <w:rFonts w:asciiTheme="minorEastAsia" w:hAnsiTheme="minorEastAsia" w:hint="eastAsia"/>
          <w:szCs w:val="21"/>
        </w:rPr>
        <w:t>，-66.59</w:t>
      </w:r>
      <w:r w:rsidRPr="00717FED">
        <w:rPr>
          <w:rFonts w:asciiTheme="minorEastAsia" w:hAnsiTheme="minorEastAsia"/>
          <w:szCs w:val="21"/>
        </w:rPr>
        <w:t>%</w:t>
      </w:r>
      <w:r w:rsidRPr="00717FED">
        <w:rPr>
          <w:rFonts w:asciiTheme="minorEastAsia" w:hAnsiTheme="minorEastAsia" w:hint="eastAsia"/>
          <w:szCs w:val="21"/>
        </w:rPr>
        <w:t>，-72.32</w:t>
      </w:r>
      <w:r w:rsidRPr="00717FED">
        <w:rPr>
          <w:rFonts w:asciiTheme="minorEastAsia" w:hAnsiTheme="minorEastAsia"/>
          <w:szCs w:val="21"/>
        </w:rPr>
        <w:t>%</w:t>
      </w:r>
      <w:r w:rsidRPr="00717FED">
        <w:rPr>
          <w:rFonts w:asciiTheme="minorEastAsia" w:hAnsiTheme="minorEastAsia" w:hint="eastAsia"/>
          <w:szCs w:val="21"/>
        </w:rPr>
        <w:t>。公司主要产品金和副产品银、铜价格较上年同期下降，受此影响，公司矿山业务利润</w:t>
      </w:r>
      <w:r>
        <w:rPr>
          <w:rFonts w:asciiTheme="minorEastAsia" w:hAnsiTheme="minorEastAsia" w:hint="eastAsia"/>
          <w:szCs w:val="21"/>
        </w:rPr>
        <w:t>下降</w:t>
      </w:r>
      <w:r w:rsidRPr="00717FED">
        <w:rPr>
          <w:rFonts w:asciiTheme="minorEastAsia" w:hAnsiTheme="minorEastAsia" w:hint="eastAsia"/>
          <w:szCs w:val="21"/>
        </w:rPr>
        <w:t>，冶炼企业期初采购成本较高和</w:t>
      </w:r>
      <w:r w:rsidRPr="007702BF">
        <w:rPr>
          <w:rFonts w:asciiTheme="minorEastAsia" w:hAnsiTheme="minorEastAsia" w:hint="eastAsia"/>
          <w:szCs w:val="21"/>
        </w:rPr>
        <w:t>计提存货跌价减值</w:t>
      </w:r>
      <w:r w:rsidRPr="00717FED">
        <w:rPr>
          <w:rFonts w:asciiTheme="minorEastAsia" w:hAnsiTheme="minorEastAsia" w:hint="eastAsia"/>
          <w:szCs w:val="21"/>
        </w:rPr>
        <w:t>，影响公司利润。</w:t>
      </w:r>
    </w:p>
    <w:p w:rsidR="005A28B2" w:rsidRPr="00717FED" w:rsidRDefault="005A28B2" w:rsidP="005A28B2">
      <w:pPr>
        <w:adjustRightInd w:val="0"/>
        <w:snapToGrid w:val="0"/>
        <w:ind w:firstLineChars="200" w:firstLine="420"/>
        <w:jc w:val="left"/>
        <w:divId w:val="156460109"/>
        <w:rPr>
          <w:rFonts w:asciiTheme="minorEastAsia" w:hAnsiTheme="minorEastAsia"/>
          <w:szCs w:val="21"/>
        </w:rPr>
      </w:pPr>
      <w:r w:rsidRPr="00717FED">
        <w:rPr>
          <w:rFonts w:asciiTheme="minorEastAsia" w:hAnsiTheme="minorEastAsia"/>
          <w:szCs w:val="21"/>
        </w:rPr>
        <w:t>2013年，公司全年</w:t>
      </w:r>
      <w:r w:rsidRPr="00717FED">
        <w:rPr>
          <w:rFonts w:asciiTheme="minorEastAsia" w:hAnsiTheme="minorEastAsia" w:hint="eastAsia"/>
          <w:szCs w:val="21"/>
        </w:rPr>
        <w:t>生产标准金</w:t>
      </w:r>
      <w:r w:rsidRPr="00717FED">
        <w:rPr>
          <w:rFonts w:asciiTheme="minorEastAsia" w:hAnsiTheme="minorEastAsia"/>
          <w:szCs w:val="21"/>
        </w:rPr>
        <w:t>12</w:t>
      </w:r>
      <w:r w:rsidRPr="00717FED">
        <w:rPr>
          <w:rFonts w:asciiTheme="minorEastAsia" w:hAnsiTheme="minorEastAsia" w:hint="eastAsia"/>
          <w:szCs w:val="21"/>
        </w:rPr>
        <w:t>2</w:t>
      </w:r>
      <w:r w:rsidRPr="00717FED">
        <w:rPr>
          <w:rFonts w:asciiTheme="minorEastAsia" w:hAnsiTheme="minorEastAsia"/>
          <w:szCs w:val="21"/>
        </w:rPr>
        <w:t>.</w:t>
      </w:r>
      <w:r w:rsidRPr="00717FED">
        <w:rPr>
          <w:rFonts w:asciiTheme="minorEastAsia" w:hAnsiTheme="minorEastAsia" w:hint="eastAsia"/>
          <w:szCs w:val="21"/>
        </w:rPr>
        <w:t>59</w:t>
      </w:r>
      <w:r w:rsidRPr="00717FED">
        <w:rPr>
          <w:rFonts w:asciiTheme="minorEastAsia" w:hAnsiTheme="minorEastAsia"/>
          <w:szCs w:val="21"/>
        </w:rPr>
        <w:t>吨，矿产金2</w:t>
      </w:r>
      <w:r w:rsidRPr="00717FED">
        <w:rPr>
          <w:rFonts w:asciiTheme="minorEastAsia" w:hAnsiTheme="minorEastAsia" w:hint="eastAsia"/>
          <w:szCs w:val="21"/>
        </w:rPr>
        <w:t>5</w:t>
      </w:r>
      <w:r w:rsidRPr="00717FED">
        <w:rPr>
          <w:rFonts w:asciiTheme="minorEastAsia" w:hAnsiTheme="minorEastAsia"/>
          <w:szCs w:val="21"/>
        </w:rPr>
        <w:t>.</w:t>
      </w:r>
      <w:r w:rsidRPr="00717FED">
        <w:rPr>
          <w:rFonts w:asciiTheme="minorEastAsia" w:hAnsiTheme="minorEastAsia" w:hint="eastAsia"/>
          <w:szCs w:val="21"/>
        </w:rPr>
        <w:t>59</w:t>
      </w:r>
      <w:r w:rsidRPr="00717FED">
        <w:rPr>
          <w:rFonts w:asciiTheme="minorEastAsia" w:hAnsiTheme="minorEastAsia"/>
          <w:szCs w:val="21"/>
        </w:rPr>
        <w:t>吨，冶炼金23.0</w:t>
      </w:r>
      <w:r w:rsidRPr="00717FED">
        <w:rPr>
          <w:rFonts w:asciiTheme="minorEastAsia" w:hAnsiTheme="minorEastAsia" w:hint="eastAsia"/>
          <w:szCs w:val="21"/>
        </w:rPr>
        <w:t>8</w:t>
      </w:r>
      <w:r w:rsidRPr="00717FED">
        <w:rPr>
          <w:rFonts w:asciiTheme="minorEastAsia" w:hAnsiTheme="minorEastAsia"/>
          <w:szCs w:val="21"/>
        </w:rPr>
        <w:t>吨，矿山铜17</w:t>
      </w:r>
      <w:r>
        <w:rPr>
          <w:rFonts w:asciiTheme="minorEastAsia" w:hAnsiTheme="minorEastAsia" w:hint="eastAsia"/>
          <w:szCs w:val="21"/>
        </w:rPr>
        <w:t>,</w:t>
      </w:r>
      <w:r w:rsidRPr="00717FED">
        <w:rPr>
          <w:rFonts w:asciiTheme="minorEastAsia" w:hAnsiTheme="minorEastAsia" w:hint="eastAsia"/>
          <w:szCs w:val="21"/>
        </w:rPr>
        <w:t>102</w:t>
      </w:r>
      <w:r w:rsidRPr="00717FED">
        <w:rPr>
          <w:rFonts w:asciiTheme="minorEastAsia" w:hAnsiTheme="minorEastAsia"/>
          <w:szCs w:val="21"/>
        </w:rPr>
        <w:t>.1</w:t>
      </w:r>
      <w:r w:rsidRPr="00717FED">
        <w:rPr>
          <w:rFonts w:asciiTheme="minorEastAsia" w:hAnsiTheme="minorEastAsia" w:hint="eastAsia"/>
          <w:szCs w:val="21"/>
        </w:rPr>
        <w:t>9</w:t>
      </w:r>
      <w:r w:rsidRPr="00717FED">
        <w:rPr>
          <w:rFonts w:asciiTheme="minorEastAsia" w:hAnsiTheme="minorEastAsia"/>
          <w:szCs w:val="21"/>
        </w:rPr>
        <w:t>吨，较上年同期分别增加</w:t>
      </w:r>
      <w:r w:rsidRPr="00717FED">
        <w:rPr>
          <w:rFonts w:asciiTheme="minorEastAsia" w:hAnsiTheme="minorEastAsia" w:hint="eastAsia"/>
          <w:szCs w:val="21"/>
        </w:rPr>
        <w:t>11.61</w:t>
      </w:r>
      <w:r w:rsidRPr="00717FED">
        <w:rPr>
          <w:rFonts w:asciiTheme="minorEastAsia" w:hAnsiTheme="minorEastAsia"/>
          <w:szCs w:val="21"/>
        </w:rPr>
        <w:t>%</w:t>
      </w:r>
      <w:r w:rsidRPr="00717FED">
        <w:rPr>
          <w:rFonts w:asciiTheme="minorEastAsia" w:hAnsiTheme="minorEastAsia" w:hint="eastAsia"/>
          <w:szCs w:val="21"/>
        </w:rPr>
        <w:t>、4.58</w:t>
      </w:r>
      <w:r w:rsidRPr="00717FED">
        <w:rPr>
          <w:rFonts w:asciiTheme="minorEastAsia" w:hAnsiTheme="minorEastAsia"/>
          <w:szCs w:val="21"/>
        </w:rPr>
        <w:t>%</w:t>
      </w:r>
      <w:r w:rsidRPr="00717FED">
        <w:rPr>
          <w:rFonts w:asciiTheme="minorEastAsia" w:hAnsiTheme="minorEastAsia" w:hint="eastAsia"/>
          <w:szCs w:val="21"/>
        </w:rPr>
        <w:t>、11.18</w:t>
      </w:r>
      <w:r w:rsidRPr="00717FED">
        <w:rPr>
          <w:rFonts w:asciiTheme="minorEastAsia" w:hAnsiTheme="minorEastAsia"/>
          <w:szCs w:val="21"/>
        </w:rPr>
        <w:t>%</w:t>
      </w:r>
      <w:r w:rsidRPr="00717FED">
        <w:rPr>
          <w:rFonts w:asciiTheme="minorEastAsia" w:hAnsiTheme="minorEastAsia" w:hint="eastAsia"/>
          <w:szCs w:val="21"/>
        </w:rPr>
        <w:t>、-1.05</w:t>
      </w:r>
      <w:r w:rsidRPr="00717FED">
        <w:rPr>
          <w:rFonts w:asciiTheme="minorEastAsia" w:hAnsiTheme="minorEastAsia"/>
          <w:szCs w:val="21"/>
        </w:rPr>
        <w:t>%</w:t>
      </w:r>
      <w:r w:rsidRPr="00717FED">
        <w:rPr>
          <w:rFonts w:asciiTheme="minorEastAsia" w:hAnsiTheme="minorEastAsia" w:hint="eastAsia"/>
          <w:szCs w:val="21"/>
        </w:rPr>
        <w:t>。</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hint="eastAsia"/>
          <w:szCs w:val="21"/>
        </w:rPr>
        <w:t>（二）资源获取工作成果显著</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szCs w:val="21"/>
        </w:rPr>
        <w:t>2013年，公司</w:t>
      </w:r>
      <w:r w:rsidRPr="00717FED">
        <w:rPr>
          <w:rFonts w:asciiTheme="minorEastAsia" w:hAnsiTheme="minorEastAsia" w:hint="eastAsia"/>
          <w:szCs w:val="21"/>
        </w:rPr>
        <w:t>依托托里金福公司对周边资源进行整合，收购了托里金福的外围资源和托里</w:t>
      </w:r>
      <w:r>
        <w:rPr>
          <w:rFonts w:asciiTheme="minorEastAsia" w:hAnsiTheme="minorEastAsia" w:hint="eastAsia"/>
          <w:szCs w:val="21"/>
        </w:rPr>
        <w:t>周边的</w:t>
      </w:r>
      <w:r w:rsidRPr="00717FED">
        <w:rPr>
          <w:rFonts w:asciiTheme="minorEastAsia" w:hAnsiTheme="minorEastAsia" w:hint="eastAsia"/>
          <w:szCs w:val="21"/>
        </w:rPr>
        <w:t>鑫达公司，新增金金</w:t>
      </w:r>
      <w:r w:rsidRPr="001C3CC8">
        <w:rPr>
          <w:rFonts w:asciiTheme="minorEastAsia" w:hAnsiTheme="minorEastAsia" w:hint="eastAsia"/>
          <w:color w:val="000000" w:themeColor="text1"/>
          <w:szCs w:val="21"/>
        </w:rPr>
        <w:t>属量4</w:t>
      </w:r>
      <w:r w:rsidRPr="001C3CC8">
        <w:rPr>
          <w:rFonts w:asciiTheme="minorEastAsia" w:hAnsiTheme="minorEastAsia"/>
          <w:color w:val="000000" w:themeColor="text1"/>
          <w:szCs w:val="21"/>
        </w:rPr>
        <w:t>.</w:t>
      </w:r>
      <w:r w:rsidRPr="001C3CC8">
        <w:rPr>
          <w:rFonts w:asciiTheme="minorEastAsia" w:hAnsiTheme="minorEastAsia" w:hint="eastAsia"/>
          <w:color w:val="000000" w:themeColor="text1"/>
          <w:szCs w:val="21"/>
        </w:rPr>
        <w:t>74吨；加强了</w:t>
      </w:r>
      <w:r>
        <w:rPr>
          <w:rFonts w:asciiTheme="minorEastAsia" w:hAnsiTheme="minorEastAsia" w:hint="eastAsia"/>
          <w:szCs w:val="21"/>
        </w:rPr>
        <w:t>现有</w:t>
      </w:r>
      <w:r w:rsidRPr="00717FED">
        <w:rPr>
          <w:rFonts w:asciiTheme="minorEastAsia" w:hAnsiTheme="minorEastAsia" w:hint="eastAsia"/>
          <w:szCs w:val="21"/>
        </w:rPr>
        <w:t>矿山企业本区及周边探矿力度，</w:t>
      </w:r>
      <w:r>
        <w:rPr>
          <w:rFonts w:asciiTheme="minorEastAsia" w:hAnsiTheme="minorEastAsia" w:hint="eastAsia"/>
          <w:szCs w:val="21"/>
        </w:rPr>
        <w:t>湖北三鑫</w:t>
      </w:r>
      <w:r w:rsidRPr="00717FED">
        <w:rPr>
          <w:rFonts w:asciiTheme="minorEastAsia" w:hAnsiTheme="minorEastAsia" w:hint="eastAsia"/>
          <w:szCs w:val="21"/>
        </w:rPr>
        <w:t>、陕西太白、包头鑫达、</w:t>
      </w:r>
      <w:r>
        <w:rPr>
          <w:rFonts w:asciiTheme="minorEastAsia" w:hAnsiTheme="minorEastAsia" w:hint="eastAsia"/>
          <w:szCs w:val="21"/>
        </w:rPr>
        <w:t>河北金厂峪</w:t>
      </w:r>
      <w:r w:rsidRPr="00717FED">
        <w:rPr>
          <w:rFonts w:asciiTheme="minorEastAsia" w:hAnsiTheme="minorEastAsia" w:hint="eastAsia"/>
          <w:szCs w:val="21"/>
        </w:rPr>
        <w:t>等都取得了较好的探矿效果。公司全年</w:t>
      </w:r>
      <w:r w:rsidRPr="00281F5A">
        <w:rPr>
          <w:rFonts w:asciiTheme="minorEastAsia" w:eastAsiaTheme="minorEastAsia" w:hAnsiTheme="minorEastAsia" w:hint="eastAsia"/>
          <w:szCs w:val="21"/>
        </w:rPr>
        <w:t>通过探矿新增资源</w:t>
      </w:r>
      <w:r>
        <w:rPr>
          <w:rFonts w:asciiTheme="minorEastAsia" w:eastAsiaTheme="minorEastAsia" w:hAnsiTheme="minorEastAsia" w:hint="eastAsia"/>
          <w:szCs w:val="21"/>
        </w:rPr>
        <w:t>储</w:t>
      </w:r>
      <w:r w:rsidRPr="00281F5A">
        <w:rPr>
          <w:rFonts w:asciiTheme="minorEastAsia" w:eastAsiaTheme="minorEastAsia" w:hAnsiTheme="minorEastAsia" w:hint="eastAsia"/>
          <w:szCs w:val="21"/>
        </w:rPr>
        <w:t>量62.84吨</w:t>
      </w:r>
      <w:r>
        <w:rPr>
          <w:rFonts w:asciiTheme="minorEastAsia" w:hAnsiTheme="minorEastAsia" w:hint="eastAsia"/>
          <w:szCs w:val="21"/>
        </w:rPr>
        <w:t>。</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hint="eastAsia"/>
          <w:szCs w:val="21"/>
        </w:rPr>
        <w:t>至报告期末，公司保有资源储量金金属量</w:t>
      </w:r>
      <w:r w:rsidRPr="00717FED">
        <w:rPr>
          <w:rFonts w:asciiTheme="minorEastAsia" w:hAnsiTheme="minorEastAsia"/>
          <w:szCs w:val="21"/>
        </w:rPr>
        <w:t>601.10吨，铜金属量53万吨，铁矿石量3</w:t>
      </w:r>
      <w:r>
        <w:rPr>
          <w:rFonts w:asciiTheme="minorEastAsia" w:hAnsiTheme="minorEastAsia" w:hint="eastAsia"/>
          <w:szCs w:val="21"/>
        </w:rPr>
        <w:t>,</w:t>
      </w:r>
      <w:r w:rsidRPr="00717FED">
        <w:rPr>
          <w:rFonts w:asciiTheme="minorEastAsia" w:hAnsiTheme="minorEastAsia" w:hint="eastAsia"/>
          <w:szCs w:val="21"/>
        </w:rPr>
        <w:t>885</w:t>
      </w:r>
      <w:r w:rsidRPr="00717FED">
        <w:rPr>
          <w:rFonts w:asciiTheme="minorEastAsia" w:hAnsiTheme="minorEastAsia"/>
          <w:szCs w:val="21"/>
        </w:rPr>
        <w:t>万吨，拥有矿权143个，矿权面积达到了955平方公里。</w:t>
      </w:r>
    </w:p>
    <w:p w:rsidR="005A28B2" w:rsidRPr="00717FED" w:rsidRDefault="005A28B2" w:rsidP="005A28B2">
      <w:pPr>
        <w:adjustRightInd w:val="0"/>
        <w:snapToGrid w:val="0"/>
        <w:ind w:firstLineChars="200" w:firstLine="420"/>
        <w:divId w:val="156460109"/>
        <w:rPr>
          <w:b/>
          <w:szCs w:val="21"/>
        </w:rPr>
      </w:pPr>
      <w:r w:rsidRPr="00717FED">
        <w:rPr>
          <w:rFonts w:hint="eastAsia"/>
          <w:szCs w:val="21"/>
        </w:rPr>
        <w:t>（三）</w:t>
      </w:r>
      <w:r w:rsidRPr="00717FED">
        <w:rPr>
          <w:rFonts w:asciiTheme="minorEastAsia" w:hAnsiTheme="minorEastAsia" w:cs="宋体" w:hint="eastAsia"/>
          <w:bCs/>
          <w:szCs w:val="21"/>
        </w:rPr>
        <w:t>重点项目建设工作稳步推进</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hint="eastAsia"/>
          <w:szCs w:val="21"/>
        </w:rPr>
        <w:t>包头鑫达选矿项目、新疆托里项目、甘肃中金项目、嵩原冶炼项目等提前建成，进入试生产阶段。预计新增矿山生产能力7</w:t>
      </w:r>
      <w:r>
        <w:rPr>
          <w:rFonts w:asciiTheme="minorEastAsia" w:hAnsiTheme="minorEastAsia" w:hint="eastAsia"/>
          <w:szCs w:val="21"/>
        </w:rPr>
        <w:t>,</w:t>
      </w:r>
      <w:r w:rsidRPr="00717FED">
        <w:rPr>
          <w:rFonts w:asciiTheme="minorEastAsia" w:hAnsiTheme="minorEastAsia" w:hint="eastAsia"/>
          <w:szCs w:val="21"/>
        </w:rPr>
        <w:t>000吨</w:t>
      </w:r>
      <w:r w:rsidRPr="00717FED">
        <w:rPr>
          <w:rFonts w:asciiTheme="minorEastAsia" w:hAnsiTheme="minorEastAsia"/>
          <w:szCs w:val="21"/>
        </w:rPr>
        <w:t>/日</w:t>
      </w:r>
      <w:r w:rsidRPr="00717FED">
        <w:rPr>
          <w:rFonts w:asciiTheme="minorEastAsia" w:hAnsiTheme="minorEastAsia" w:hint="eastAsia"/>
          <w:szCs w:val="21"/>
        </w:rPr>
        <w:t>，新增黄金产量3</w:t>
      </w:r>
      <w:r>
        <w:rPr>
          <w:rFonts w:asciiTheme="minorEastAsia" w:hAnsiTheme="minorEastAsia" w:hint="eastAsia"/>
          <w:szCs w:val="21"/>
        </w:rPr>
        <w:t>.</w:t>
      </w:r>
      <w:r w:rsidRPr="00717FED">
        <w:rPr>
          <w:rFonts w:asciiTheme="minorEastAsia" w:hAnsiTheme="minorEastAsia" w:hint="eastAsia"/>
          <w:szCs w:val="21"/>
        </w:rPr>
        <w:t>27</w:t>
      </w:r>
      <w:r>
        <w:rPr>
          <w:rFonts w:asciiTheme="minorEastAsia" w:hAnsiTheme="minorEastAsia" w:hint="eastAsia"/>
          <w:szCs w:val="21"/>
        </w:rPr>
        <w:t>吨</w:t>
      </w:r>
      <w:r w:rsidRPr="00717FED">
        <w:rPr>
          <w:rFonts w:asciiTheme="minorEastAsia" w:hAnsiTheme="minorEastAsia" w:hint="eastAsia"/>
          <w:szCs w:val="21"/>
        </w:rPr>
        <w:t>，新增金精矿冶炼能力300吨</w:t>
      </w:r>
      <w:r w:rsidRPr="00717FED">
        <w:rPr>
          <w:rFonts w:asciiTheme="minorEastAsia" w:hAnsiTheme="minorEastAsia"/>
          <w:szCs w:val="21"/>
        </w:rPr>
        <w:t>/日</w:t>
      </w:r>
      <w:r w:rsidRPr="00717FED">
        <w:rPr>
          <w:rFonts w:asciiTheme="minorEastAsia" w:hAnsiTheme="minorEastAsia" w:hint="eastAsia"/>
          <w:szCs w:val="21"/>
        </w:rPr>
        <w:t>。</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hint="eastAsia"/>
          <w:szCs w:val="21"/>
        </w:rPr>
        <w:t>（四）重点科技攻关成绩显著</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szCs w:val="21"/>
        </w:rPr>
        <w:t>2013</w:t>
      </w:r>
      <w:r w:rsidRPr="00717FED">
        <w:rPr>
          <w:rFonts w:asciiTheme="minorEastAsia" w:hAnsiTheme="minorEastAsia" w:hint="eastAsia"/>
          <w:szCs w:val="21"/>
        </w:rPr>
        <w:t>年，共获得专利3</w:t>
      </w:r>
      <w:r w:rsidRPr="00717FED">
        <w:rPr>
          <w:rFonts w:asciiTheme="minorEastAsia" w:hAnsiTheme="minorEastAsia"/>
          <w:szCs w:val="21"/>
        </w:rPr>
        <w:t>项</w:t>
      </w:r>
      <w:r w:rsidRPr="00717FED">
        <w:rPr>
          <w:rFonts w:asciiTheme="minorEastAsia" w:hAnsiTheme="minorEastAsia" w:hint="eastAsia"/>
          <w:szCs w:val="21"/>
        </w:rPr>
        <w:t>；</w:t>
      </w:r>
      <w:r w:rsidRPr="00717FED">
        <w:rPr>
          <w:rFonts w:asciiTheme="minorEastAsia" w:hAnsiTheme="minorEastAsia"/>
          <w:szCs w:val="21"/>
        </w:rPr>
        <w:t>获得省部级以上奖励11项。</w:t>
      </w:r>
      <w:r w:rsidRPr="00717FED">
        <w:rPr>
          <w:rFonts w:asciiTheme="minorEastAsia" w:hAnsiTheme="minorEastAsia" w:hint="eastAsia"/>
          <w:szCs w:val="21"/>
        </w:rPr>
        <w:t>其中</w:t>
      </w:r>
      <w:r w:rsidRPr="00717FED">
        <w:rPr>
          <w:rFonts w:asciiTheme="minorEastAsia" w:hAnsiTheme="minorEastAsia"/>
          <w:szCs w:val="21"/>
        </w:rPr>
        <w:t>陕西太白“复杂采空区探测及地压监测预报综合技术及应用”获得中国黄金协会科学技术奖一等奖</w:t>
      </w:r>
      <w:r w:rsidRPr="00717FED">
        <w:rPr>
          <w:rFonts w:asciiTheme="minorEastAsia" w:hAnsiTheme="minorEastAsia" w:hint="eastAsia"/>
          <w:szCs w:val="21"/>
        </w:rPr>
        <w:t>、江西三和“优化生物氧化—炭浸法提金工艺的研究与应用”获得中国黄金协会科学技术奖一等奖。</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hint="eastAsia"/>
          <w:szCs w:val="21"/>
        </w:rPr>
        <w:lastRenderedPageBreak/>
        <w:t>（五）降本增效活动取得明显效果，各专业管理水平持续提高</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hint="eastAsia"/>
          <w:szCs w:val="21"/>
        </w:rPr>
        <w:t>降本增效活动是公司</w:t>
      </w:r>
      <w:r w:rsidRPr="00717FED">
        <w:rPr>
          <w:rFonts w:asciiTheme="minorEastAsia" w:hAnsiTheme="minorEastAsia"/>
          <w:szCs w:val="21"/>
        </w:rPr>
        <w:t>2013</w:t>
      </w:r>
      <w:r w:rsidRPr="00717FED">
        <w:rPr>
          <w:rFonts w:asciiTheme="minorEastAsia" w:hAnsiTheme="minorEastAsia" w:hint="eastAsia"/>
          <w:szCs w:val="21"/>
        </w:rPr>
        <w:t>“质量效益年”的重点工作。公司通过成立降本增效小组，将活动和任务层层分解和推进，控制成本、压缩费用、</w:t>
      </w:r>
      <w:r>
        <w:rPr>
          <w:rFonts w:asciiTheme="minorEastAsia" w:hAnsiTheme="minorEastAsia" w:hint="eastAsia"/>
          <w:szCs w:val="21"/>
        </w:rPr>
        <w:t>集约采购、</w:t>
      </w:r>
      <w:r w:rsidRPr="00717FED">
        <w:rPr>
          <w:rFonts w:asciiTheme="minorEastAsia" w:hAnsiTheme="minorEastAsia" w:hint="eastAsia"/>
          <w:szCs w:val="21"/>
        </w:rPr>
        <w:t>严控人员、规范管理，取得了明显效果。同时，公司</w:t>
      </w:r>
      <w:r w:rsidRPr="00717FED">
        <w:rPr>
          <w:rFonts w:asciiTheme="minorEastAsia" w:hAnsiTheme="minorEastAsia" w:cs="宋体" w:hint="eastAsia"/>
          <w:szCs w:val="21"/>
        </w:rPr>
        <w:t>围绕“强基固本、控制风险，资源领先、做强做优，科技创新、转型升级，对标创优、创建一流”的主题，对各个企业全面诊断，</w:t>
      </w:r>
      <w:r>
        <w:rPr>
          <w:rFonts w:asciiTheme="minorEastAsia" w:hAnsiTheme="minorEastAsia" w:cs="宋体" w:hint="eastAsia"/>
          <w:szCs w:val="21"/>
        </w:rPr>
        <w:t>制定</w:t>
      </w:r>
      <w:r w:rsidRPr="00717FED">
        <w:rPr>
          <w:rFonts w:asciiTheme="minorEastAsia" w:hAnsiTheme="minorEastAsia" w:cs="宋体" w:hint="eastAsia"/>
          <w:szCs w:val="21"/>
        </w:rPr>
        <w:t>针对性提升措施，狠抓重点攻关。公司</w:t>
      </w:r>
      <w:r w:rsidRPr="00717FED">
        <w:rPr>
          <w:rFonts w:asciiTheme="minorEastAsia" w:hAnsiTheme="minorEastAsia" w:hint="eastAsia"/>
          <w:szCs w:val="21"/>
        </w:rPr>
        <w:t>生产管理、项目立项、投资管理、信息化建设等专业领域管理水平持续提高。</w:t>
      </w:r>
    </w:p>
    <w:p w:rsidR="005A28B2" w:rsidRPr="00717FED" w:rsidRDefault="005A28B2" w:rsidP="005A28B2">
      <w:pPr>
        <w:adjustRightInd w:val="0"/>
        <w:snapToGrid w:val="0"/>
        <w:ind w:firstLineChars="200" w:firstLine="420"/>
        <w:divId w:val="156460109"/>
        <w:rPr>
          <w:rFonts w:asciiTheme="minorEastAsia" w:hAnsiTheme="minorEastAsia" w:cs="宋体"/>
          <w:bCs/>
          <w:szCs w:val="21"/>
        </w:rPr>
      </w:pPr>
      <w:r w:rsidRPr="00717FED">
        <w:rPr>
          <w:rFonts w:asciiTheme="minorEastAsia" w:hAnsiTheme="minorEastAsia" w:cs="宋体" w:hint="eastAsia"/>
          <w:bCs/>
          <w:szCs w:val="21"/>
        </w:rPr>
        <w:t>（六）</w:t>
      </w:r>
      <w:r w:rsidRPr="00717FED">
        <w:rPr>
          <w:rFonts w:asciiTheme="minorEastAsia" w:hAnsiTheme="minorEastAsia" w:hint="eastAsia"/>
          <w:szCs w:val="21"/>
        </w:rPr>
        <w:t>安全环保工作全面扎实开展</w:t>
      </w:r>
    </w:p>
    <w:p w:rsidR="005A28B2" w:rsidRPr="00717FED" w:rsidRDefault="005A28B2" w:rsidP="005A28B2">
      <w:pPr>
        <w:adjustRightInd w:val="0"/>
        <w:snapToGrid w:val="0"/>
        <w:ind w:firstLineChars="200" w:firstLine="420"/>
        <w:divId w:val="156460109"/>
        <w:rPr>
          <w:rFonts w:asciiTheme="minorEastAsia" w:hAnsiTheme="minorEastAsia"/>
          <w:szCs w:val="21"/>
        </w:rPr>
      </w:pPr>
      <w:r w:rsidRPr="00717FED">
        <w:rPr>
          <w:rFonts w:asciiTheme="minorEastAsia" w:hAnsiTheme="minorEastAsia" w:hint="eastAsia"/>
          <w:szCs w:val="21"/>
        </w:rPr>
        <w:t>推行安全确认制，加强现场安全管理。开展“零容忍、全覆盖”的安全环保大检查以及安全生产重点区域、重点部位百日专项整治等检查活动。目前</w:t>
      </w:r>
      <w:r w:rsidRPr="00717FED">
        <w:rPr>
          <w:rFonts w:asciiTheme="minorEastAsia" w:hAnsiTheme="minorEastAsia"/>
          <w:szCs w:val="21"/>
        </w:rPr>
        <w:t>24</w:t>
      </w:r>
      <w:r w:rsidRPr="00717FED">
        <w:rPr>
          <w:rFonts w:asciiTheme="minorEastAsia" w:hAnsiTheme="minorEastAsia" w:hint="eastAsia"/>
          <w:szCs w:val="21"/>
        </w:rPr>
        <w:t>家地下矿山完成安全避险六大系统建设，占</w:t>
      </w:r>
      <w:r>
        <w:rPr>
          <w:rFonts w:asciiTheme="minorEastAsia" w:hAnsiTheme="minorEastAsia" w:hint="eastAsia"/>
          <w:szCs w:val="21"/>
        </w:rPr>
        <w:t>公司</w:t>
      </w:r>
      <w:r w:rsidRPr="00717FED">
        <w:rPr>
          <w:rFonts w:asciiTheme="minorEastAsia" w:hAnsiTheme="minorEastAsia" w:hint="eastAsia"/>
          <w:szCs w:val="21"/>
        </w:rPr>
        <w:t>矿山企业的近90%；所有矿山全部通过国家安全标准化三级以上验收，其中湖北三鑫、江西金山、陕西太白</w:t>
      </w:r>
      <w:r w:rsidRPr="00717FED">
        <w:rPr>
          <w:rFonts w:asciiTheme="minorEastAsia" w:hAnsiTheme="minorEastAsia"/>
          <w:szCs w:val="21"/>
        </w:rPr>
        <w:t>3家企业通过一级验收</w:t>
      </w:r>
      <w:r w:rsidRPr="00717FED">
        <w:rPr>
          <w:rFonts w:asciiTheme="minorEastAsia" w:hAnsiTheme="minorEastAsia" w:hint="eastAsia"/>
          <w:szCs w:val="21"/>
        </w:rPr>
        <w:t>。公司所属共11家企业分三批成为国土资源部绿色矿山试点单位，同时分</w:t>
      </w:r>
      <w:r>
        <w:rPr>
          <w:rFonts w:asciiTheme="minorEastAsia" w:hAnsiTheme="minorEastAsia" w:hint="eastAsia"/>
          <w:szCs w:val="21"/>
        </w:rPr>
        <w:t>三个</w:t>
      </w:r>
      <w:r w:rsidRPr="00717FED">
        <w:rPr>
          <w:rFonts w:asciiTheme="minorEastAsia" w:hAnsiTheme="minorEastAsia" w:hint="eastAsia"/>
          <w:szCs w:val="21"/>
        </w:rPr>
        <w:t>层次累计对企业</w:t>
      </w:r>
      <w:r>
        <w:rPr>
          <w:rFonts w:asciiTheme="minorEastAsia" w:hAnsiTheme="minorEastAsia" w:hint="eastAsia"/>
          <w:szCs w:val="21"/>
        </w:rPr>
        <w:t>领导和</w:t>
      </w:r>
      <w:r w:rsidRPr="00717FED">
        <w:rPr>
          <w:rFonts w:asciiTheme="minorEastAsia" w:hAnsiTheme="minorEastAsia" w:hint="eastAsia"/>
          <w:szCs w:val="21"/>
        </w:rPr>
        <w:t>员工进行安全培训12000多</w:t>
      </w:r>
      <w:r w:rsidRPr="00717FED">
        <w:rPr>
          <w:rFonts w:asciiTheme="minorEastAsia" w:hAnsiTheme="minorEastAsia"/>
          <w:szCs w:val="21"/>
        </w:rPr>
        <w:t>人</w:t>
      </w:r>
      <w:r w:rsidRPr="00717FED">
        <w:rPr>
          <w:rFonts w:asciiTheme="minorEastAsia" w:hAnsiTheme="minorEastAsia" w:hint="eastAsia"/>
          <w:szCs w:val="21"/>
        </w:rPr>
        <w:t>次。</w:t>
      </w:r>
      <w:r w:rsidRPr="00717FED">
        <w:rPr>
          <w:rFonts w:asciiTheme="minorEastAsia" w:hAnsiTheme="minorEastAsia"/>
          <w:szCs w:val="21"/>
        </w:rPr>
        <w:t>2013年</w:t>
      </w:r>
      <w:r w:rsidRPr="008E2D2D">
        <w:rPr>
          <w:rFonts w:asciiTheme="minorEastAsia" w:hAnsiTheme="minorEastAsia"/>
          <w:szCs w:val="21"/>
        </w:rPr>
        <w:t>COD、</w:t>
      </w:r>
      <w:r w:rsidRPr="00697E58">
        <w:rPr>
          <w:rFonts w:asciiTheme="minorEastAsia" w:hAnsiTheme="minorEastAsia"/>
          <w:szCs w:val="21"/>
        </w:rPr>
        <w:t>SO</w:t>
      </w:r>
      <w:r w:rsidRPr="00697E58">
        <w:rPr>
          <w:rFonts w:asciiTheme="minorEastAsia" w:hAnsiTheme="minorEastAsia"/>
          <w:szCs w:val="21"/>
          <w:vertAlign w:val="subscript"/>
        </w:rPr>
        <w:t>2</w:t>
      </w:r>
      <w:r w:rsidRPr="00717FED">
        <w:rPr>
          <w:rFonts w:asciiTheme="minorEastAsia" w:hAnsiTheme="minorEastAsia" w:hint="eastAsia"/>
          <w:szCs w:val="21"/>
        </w:rPr>
        <w:t>排放量较去年同期分别下降</w:t>
      </w:r>
      <w:r w:rsidRPr="00717FED">
        <w:rPr>
          <w:rFonts w:asciiTheme="minorEastAsia" w:hAnsiTheme="minorEastAsia"/>
          <w:szCs w:val="21"/>
        </w:rPr>
        <w:t>2.4％和2.2%</w:t>
      </w:r>
      <w:r w:rsidRPr="00717FED">
        <w:rPr>
          <w:rFonts w:asciiTheme="minorEastAsia" w:hAnsiTheme="minorEastAsia" w:hint="eastAsia"/>
          <w:szCs w:val="21"/>
        </w:rPr>
        <w:t>。</w:t>
      </w:r>
    </w:p>
    <w:p w:rsidR="005A28B2" w:rsidRPr="008E2D2D" w:rsidRDefault="005A28B2" w:rsidP="005A28B2">
      <w:pPr>
        <w:adjustRightInd w:val="0"/>
        <w:snapToGrid w:val="0"/>
        <w:ind w:firstLineChars="200" w:firstLine="420"/>
        <w:divId w:val="156460109"/>
        <w:rPr>
          <w:rFonts w:asciiTheme="minorEastAsia" w:hAnsiTheme="minorEastAsia"/>
          <w:szCs w:val="21"/>
        </w:rPr>
      </w:pPr>
      <w:r w:rsidRPr="008E2D2D">
        <w:rPr>
          <w:rFonts w:asciiTheme="minorEastAsia" w:hAnsiTheme="minorEastAsia" w:hint="eastAsia"/>
          <w:szCs w:val="21"/>
        </w:rPr>
        <w:t>（七）强化规范运作，持续提高公司治理水平</w:t>
      </w:r>
    </w:p>
    <w:p w:rsidR="005A28B2" w:rsidRPr="00717FED" w:rsidRDefault="005A28B2" w:rsidP="005A28B2">
      <w:pPr>
        <w:adjustRightInd w:val="0"/>
        <w:snapToGrid w:val="0"/>
        <w:ind w:firstLineChars="200" w:firstLine="420"/>
        <w:divId w:val="156460109"/>
        <w:rPr>
          <w:rFonts w:asciiTheme="minorEastAsia" w:hAnsiTheme="minorEastAsia" w:cs="宋体"/>
          <w:szCs w:val="21"/>
        </w:rPr>
      </w:pPr>
      <w:r w:rsidRPr="00717FED">
        <w:rPr>
          <w:rFonts w:asciiTheme="minorEastAsia" w:hAnsiTheme="minorEastAsia" w:cs="宋体" w:hint="eastAsia"/>
          <w:bCs/>
          <w:szCs w:val="21"/>
        </w:rPr>
        <w:t>公司严格按照现代企业制度要求，坚持规范运作，在实践中完善法人治理结构，提高法人治理水平。通过不断完善公司治理制度、</w:t>
      </w:r>
      <w:r w:rsidRPr="00717FED">
        <w:rPr>
          <w:rFonts w:asciiTheme="minorEastAsia" w:hAnsiTheme="minorEastAsia" w:cs="宋体" w:hint="eastAsia"/>
          <w:szCs w:val="21"/>
        </w:rPr>
        <w:t>印制《中金黄金</w:t>
      </w:r>
      <w:r>
        <w:rPr>
          <w:rFonts w:asciiTheme="minorEastAsia" w:hAnsiTheme="minorEastAsia" w:cs="宋体" w:hint="eastAsia"/>
          <w:szCs w:val="21"/>
        </w:rPr>
        <w:t>公司</w:t>
      </w:r>
      <w:r w:rsidRPr="00717FED">
        <w:rPr>
          <w:rFonts w:asciiTheme="minorEastAsia" w:hAnsiTheme="minorEastAsia" w:cs="宋体" w:hint="eastAsia"/>
          <w:szCs w:val="21"/>
        </w:rPr>
        <w:t>治理制度汇编》、</w:t>
      </w:r>
      <w:r w:rsidRPr="00717FED">
        <w:rPr>
          <w:rFonts w:asciiTheme="minorEastAsia" w:hAnsiTheme="minorEastAsia" w:cs="宋体" w:hint="eastAsia"/>
          <w:bCs/>
          <w:szCs w:val="21"/>
        </w:rPr>
        <w:t>举办规范运作培训班</w:t>
      </w:r>
      <w:r w:rsidRPr="00717FED">
        <w:rPr>
          <w:rFonts w:asciiTheme="minorEastAsia" w:hAnsiTheme="minorEastAsia" w:cs="宋体" w:hint="eastAsia"/>
          <w:szCs w:val="21"/>
        </w:rPr>
        <w:t>、开展针对子公司的规范运作自查和现场</w:t>
      </w:r>
      <w:r>
        <w:rPr>
          <w:rFonts w:asciiTheme="minorEastAsia" w:hAnsiTheme="minorEastAsia" w:cs="宋体" w:hint="eastAsia"/>
          <w:szCs w:val="21"/>
        </w:rPr>
        <w:t>检</w:t>
      </w:r>
      <w:r w:rsidRPr="00717FED">
        <w:rPr>
          <w:rFonts w:asciiTheme="minorEastAsia" w:hAnsiTheme="minorEastAsia" w:cs="宋体" w:hint="eastAsia"/>
          <w:szCs w:val="21"/>
        </w:rPr>
        <w:t>查等活动，有效地促进了公司的规范运作</w:t>
      </w:r>
      <w:r>
        <w:rPr>
          <w:rFonts w:asciiTheme="minorEastAsia" w:hAnsiTheme="minorEastAsia" w:cs="宋体" w:hint="eastAsia"/>
          <w:szCs w:val="21"/>
        </w:rPr>
        <w:t>和</w:t>
      </w:r>
      <w:r w:rsidRPr="00717FED">
        <w:rPr>
          <w:rFonts w:asciiTheme="minorEastAsia" w:hAnsiTheme="minorEastAsia" w:cs="宋体" w:hint="eastAsia"/>
          <w:szCs w:val="21"/>
        </w:rPr>
        <w:t>治理水平</w:t>
      </w:r>
      <w:r>
        <w:rPr>
          <w:rFonts w:asciiTheme="minorEastAsia" w:hAnsiTheme="minorEastAsia" w:cs="宋体" w:hint="eastAsia"/>
          <w:szCs w:val="21"/>
        </w:rPr>
        <w:t>的</w:t>
      </w:r>
      <w:r w:rsidRPr="00717FED">
        <w:rPr>
          <w:rFonts w:asciiTheme="minorEastAsia" w:hAnsiTheme="minorEastAsia" w:cs="宋体" w:hint="eastAsia"/>
          <w:szCs w:val="21"/>
        </w:rPr>
        <w:t>提高。</w:t>
      </w:r>
    </w:p>
    <w:p w:rsidR="00743B5F" w:rsidRDefault="00782A22" w:rsidP="005A28B2">
      <w:pPr>
        <w:adjustRightInd w:val="0"/>
        <w:snapToGrid w:val="0"/>
        <w:ind w:left="420" w:hangingChars="200" w:hanging="420"/>
        <w:jc w:val="left"/>
        <w:divId w:val="156460109"/>
        <w:rPr>
          <w:rFonts w:asciiTheme="minorEastAsia" w:eastAsiaTheme="minorEastAsia" w:hAnsiTheme="minorEastAsia" w:cs="宋体"/>
          <w:szCs w:val="21"/>
        </w:rPr>
      </w:pPr>
      <w:r w:rsidRPr="00743B5F">
        <w:rPr>
          <w:rFonts w:asciiTheme="minorEastAsia" w:eastAsiaTheme="minorEastAsia" w:hAnsiTheme="minorEastAsia" w:cs="宋体" w:hint="eastAsia"/>
          <w:szCs w:val="21"/>
        </w:rPr>
        <w:br/>
      </w:r>
      <w:r w:rsidR="009C6395" w:rsidRPr="00743B5F">
        <w:rPr>
          <w:rFonts w:asciiTheme="minorEastAsia" w:eastAsiaTheme="minorEastAsia" w:hAnsiTheme="minorEastAsia" w:cs="宋体" w:hint="eastAsia"/>
          <w:b/>
          <w:szCs w:val="21"/>
        </w:rPr>
        <w:t>2014年经营计划</w:t>
      </w:r>
    </w:p>
    <w:p w:rsidR="00CE3120" w:rsidRPr="00D17F4F" w:rsidRDefault="00CE3120" w:rsidP="00CE3120">
      <w:pPr>
        <w:adjustRightInd w:val="0"/>
        <w:snapToGrid w:val="0"/>
        <w:ind w:firstLineChars="200" w:firstLine="420"/>
        <w:jc w:val="left"/>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1.公司2014年主要生产经营指标：</w:t>
      </w:r>
    </w:p>
    <w:p w:rsidR="00CE3120" w:rsidRPr="00D17F4F" w:rsidRDefault="00CE3120" w:rsidP="00CE3120">
      <w:pPr>
        <w:adjustRightInd w:val="0"/>
        <w:snapToGrid w:val="0"/>
        <w:ind w:firstLineChars="200" w:firstLine="420"/>
        <w:jc w:val="left"/>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2014年公司计划生产标准金153.96吨，矿产金25.17吨，冶炼金24.59吨；生产</w:t>
      </w:r>
      <w:r w:rsidRPr="00D17F4F">
        <w:rPr>
          <w:rFonts w:asciiTheme="minorEastAsia" w:eastAsiaTheme="minorEastAsia" w:hAnsiTheme="minorEastAsia"/>
          <w:szCs w:val="21"/>
        </w:rPr>
        <w:t>电解银46</w:t>
      </w:r>
      <w:r w:rsidRPr="00D17F4F">
        <w:rPr>
          <w:rFonts w:asciiTheme="minorEastAsia" w:eastAsiaTheme="minorEastAsia" w:hAnsiTheme="minorEastAsia" w:hint="eastAsia"/>
          <w:szCs w:val="21"/>
        </w:rPr>
        <w:t>.</w:t>
      </w:r>
      <w:r w:rsidRPr="00E4028F">
        <w:rPr>
          <w:rFonts w:asciiTheme="minorEastAsia" w:eastAsiaTheme="minorEastAsia" w:hAnsiTheme="minorEastAsia"/>
          <w:szCs w:val="21"/>
        </w:rPr>
        <w:t>7</w:t>
      </w:r>
      <w:r w:rsidRPr="00E4028F">
        <w:rPr>
          <w:rFonts w:asciiTheme="minorEastAsia" w:eastAsiaTheme="minorEastAsia" w:hAnsiTheme="minorEastAsia" w:hint="eastAsia"/>
          <w:szCs w:val="21"/>
        </w:rPr>
        <w:t>7吨，</w:t>
      </w:r>
      <w:r w:rsidRPr="00E4028F">
        <w:rPr>
          <w:rFonts w:asciiTheme="minorEastAsia" w:eastAsiaTheme="minorEastAsia" w:hAnsiTheme="minorEastAsia"/>
          <w:szCs w:val="21"/>
        </w:rPr>
        <w:t>矿山银16</w:t>
      </w:r>
      <w:r w:rsidRPr="00E4028F">
        <w:rPr>
          <w:rFonts w:asciiTheme="minorEastAsia" w:eastAsiaTheme="minorEastAsia" w:hAnsiTheme="minorEastAsia" w:hint="eastAsia"/>
          <w:szCs w:val="21"/>
        </w:rPr>
        <w:t>.</w:t>
      </w:r>
      <w:r w:rsidRPr="00E4028F">
        <w:rPr>
          <w:rFonts w:asciiTheme="minorEastAsia" w:eastAsiaTheme="minorEastAsia" w:hAnsiTheme="minorEastAsia"/>
          <w:szCs w:val="21"/>
        </w:rPr>
        <w:t>7</w:t>
      </w:r>
      <w:r w:rsidRPr="00E4028F">
        <w:rPr>
          <w:rFonts w:asciiTheme="minorEastAsia" w:eastAsiaTheme="minorEastAsia" w:hAnsiTheme="minorEastAsia" w:hint="eastAsia"/>
          <w:szCs w:val="21"/>
        </w:rPr>
        <w:t>4吨；生产</w:t>
      </w:r>
      <w:r w:rsidRPr="00E4028F">
        <w:rPr>
          <w:rFonts w:asciiTheme="minorEastAsia" w:eastAsiaTheme="minorEastAsia" w:hAnsiTheme="minorEastAsia"/>
          <w:szCs w:val="21"/>
        </w:rPr>
        <w:t>电解铜8</w:t>
      </w:r>
      <w:r w:rsidRPr="00E4028F">
        <w:rPr>
          <w:rFonts w:asciiTheme="minorEastAsia" w:eastAsiaTheme="minorEastAsia" w:hAnsiTheme="minorEastAsia" w:hint="eastAsia"/>
          <w:szCs w:val="21"/>
        </w:rPr>
        <w:t>,</w:t>
      </w:r>
      <w:r w:rsidRPr="00E4028F">
        <w:rPr>
          <w:rFonts w:asciiTheme="minorEastAsia" w:eastAsiaTheme="minorEastAsia" w:hAnsiTheme="minorEastAsia"/>
          <w:szCs w:val="21"/>
        </w:rPr>
        <w:t>482.8</w:t>
      </w:r>
      <w:r w:rsidRPr="00D17F4F">
        <w:rPr>
          <w:rFonts w:asciiTheme="minorEastAsia" w:eastAsiaTheme="minorEastAsia" w:hAnsiTheme="minorEastAsia"/>
          <w:szCs w:val="21"/>
        </w:rPr>
        <w:t>1吨，矿山铜14,300吨</w:t>
      </w:r>
      <w:r w:rsidRPr="00D17F4F">
        <w:rPr>
          <w:rFonts w:asciiTheme="minorEastAsia" w:eastAsiaTheme="minorEastAsia" w:hAnsiTheme="minorEastAsia" w:hint="eastAsia"/>
          <w:szCs w:val="21"/>
        </w:rPr>
        <w:t>；生产硫酸</w:t>
      </w:r>
      <w:r w:rsidRPr="00D17F4F">
        <w:rPr>
          <w:rFonts w:asciiTheme="minorEastAsia" w:eastAsiaTheme="minorEastAsia" w:hAnsiTheme="minorEastAsia"/>
          <w:szCs w:val="21"/>
        </w:rPr>
        <w:t>29</w:t>
      </w:r>
      <w:r w:rsidRPr="00D17F4F">
        <w:rPr>
          <w:rFonts w:asciiTheme="minorEastAsia" w:eastAsiaTheme="minorEastAsia" w:hAnsiTheme="minorEastAsia" w:hint="eastAsia"/>
          <w:szCs w:val="21"/>
        </w:rPr>
        <w:t>.</w:t>
      </w:r>
      <w:r w:rsidRPr="00D17F4F">
        <w:rPr>
          <w:rFonts w:asciiTheme="minorEastAsia" w:eastAsiaTheme="minorEastAsia" w:hAnsiTheme="minorEastAsia"/>
          <w:szCs w:val="21"/>
        </w:rPr>
        <w:t>26</w:t>
      </w:r>
      <w:r w:rsidRPr="00D17F4F">
        <w:rPr>
          <w:rFonts w:asciiTheme="minorEastAsia" w:eastAsiaTheme="minorEastAsia" w:hAnsiTheme="minorEastAsia" w:hint="eastAsia"/>
          <w:szCs w:val="21"/>
        </w:rPr>
        <w:t>万吨；生产铁精粉</w:t>
      </w:r>
      <w:r w:rsidRPr="00D17F4F">
        <w:rPr>
          <w:rFonts w:asciiTheme="minorEastAsia" w:eastAsiaTheme="minorEastAsia" w:hAnsiTheme="minorEastAsia"/>
          <w:szCs w:val="21"/>
        </w:rPr>
        <w:t>12.32万吨</w:t>
      </w:r>
      <w:r w:rsidRPr="00D17F4F">
        <w:rPr>
          <w:rFonts w:asciiTheme="minorEastAsia" w:eastAsiaTheme="minorEastAsia" w:hAnsiTheme="minorEastAsia" w:hint="eastAsia"/>
          <w:szCs w:val="21"/>
        </w:rPr>
        <w:t>；新增黄金储量</w:t>
      </w:r>
      <w:r w:rsidRPr="00D17F4F">
        <w:rPr>
          <w:rFonts w:asciiTheme="minorEastAsia" w:eastAsiaTheme="minorEastAsia" w:hAnsiTheme="minorEastAsia"/>
          <w:szCs w:val="21"/>
        </w:rPr>
        <w:t>51.62</w:t>
      </w:r>
      <w:r w:rsidRPr="00D17F4F">
        <w:rPr>
          <w:rFonts w:asciiTheme="minorEastAsia" w:eastAsiaTheme="minorEastAsia" w:hAnsiTheme="minorEastAsia" w:hint="eastAsia"/>
          <w:szCs w:val="21"/>
        </w:rPr>
        <w:t xml:space="preserve"> 吨。</w:t>
      </w:r>
    </w:p>
    <w:p w:rsidR="00CE3120" w:rsidRPr="00D17F4F" w:rsidRDefault="00CE3120" w:rsidP="00CE3120">
      <w:pPr>
        <w:adjustRightInd w:val="0"/>
        <w:snapToGrid w:val="0"/>
        <w:ind w:firstLineChars="200" w:firstLine="420"/>
        <w:jc w:val="left"/>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2.公司2014年主要工作安排和采取的措施</w:t>
      </w:r>
    </w:p>
    <w:p w:rsidR="00CE3120" w:rsidRPr="00D17F4F" w:rsidRDefault="00CE3120" w:rsidP="00CE3120">
      <w:pPr>
        <w:adjustRightInd w:val="0"/>
        <w:snapToGrid w:val="0"/>
        <w:ind w:firstLineChars="121" w:firstLine="254"/>
        <w:jc w:val="left"/>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（1）切实抓好生产管理，确保实现年度生产经营目标</w:t>
      </w:r>
    </w:p>
    <w:p w:rsidR="00CE3120" w:rsidRPr="00D17F4F" w:rsidRDefault="00CE3120" w:rsidP="00CE3120">
      <w:pPr>
        <w:adjustRightInd w:val="0"/>
        <w:snapToGrid w:val="0"/>
        <w:ind w:firstLineChars="200" w:firstLine="420"/>
        <w:jc w:val="left"/>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公司将</w:t>
      </w:r>
      <w:r>
        <w:rPr>
          <w:rFonts w:asciiTheme="minorEastAsia" w:eastAsiaTheme="minorEastAsia" w:hAnsiTheme="minorEastAsia" w:hint="eastAsia"/>
          <w:szCs w:val="21"/>
        </w:rPr>
        <w:t>通过</w:t>
      </w:r>
      <w:r w:rsidRPr="00D17F4F">
        <w:rPr>
          <w:rFonts w:asciiTheme="minorEastAsia" w:eastAsiaTheme="minorEastAsia" w:hAnsiTheme="minorEastAsia" w:hint="eastAsia"/>
          <w:szCs w:val="21"/>
        </w:rPr>
        <w:t>分类指导，层层落实，加强生产组织和管理，提高矿山生产机械化、自动化装备水平，提高劳动生产率,确保完成年度目标产量和效益。</w:t>
      </w:r>
    </w:p>
    <w:p w:rsidR="00CE3120" w:rsidRPr="00D17F4F" w:rsidRDefault="00CE3120" w:rsidP="00CE3120">
      <w:pPr>
        <w:adjustRightInd w:val="0"/>
        <w:snapToGrid w:val="0"/>
        <w:ind w:firstLineChars="121" w:firstLine="254"/>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（2）加快资源占有步伐，优化资产质量和结构</w:t>
      </w:r>
    </w:p>
    <w:p w:rsidR="00CE3120" w:rsidRPr="00D17F4F" w:rsidRDefault="00CE3120" w:rsidP="00CE3120">
      <w:pPr>
        <w:adjustRightInd w:val="0"/>
        <w:snapToGrid w:val="0"/>
        <w:ind w:firstLineChars="200" w:firstLine="420"/>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坚持“</w:t>
      </w:r>
      <w:r w:rsidRPr="00D17F4F">
        <w:rPr>
          <w:rFonts w:asciiTheme="minorEastAsia" w:eastAsiaTheme="minorEastAsia" w:hAnsiTheme="minorEastAsia"/>
          <w:szCs w:val="21"/>
        </w:rPr>
        <w:t>优进劣退”的总体原则,进一步优化资产结构和改善资产质量</w:t>
      </w:r>
      <w:r w:rsidRPr="00D17F4F">
        <w:rPr>
          <w:rFonts w:asciiTheme="minorEastAsia" w:eastAsiaTheme="minorEastAsia" w:hAnsiTheme="minorEastAsia" w:hint="eastAsia"/>
          <w:szCs w:val="21"/>
        </w:rPr>
        <w:t>。加快抢占大型资源项目，大力推进现有矿区深部和周边的探矿增储和矿权整合，注重项目的盈利能力和投入产出效果，以最小的成本获取最多的优质资源。</w:t>
      </w:r>
    </w:p>
    <w:p w:rsidR="00CE3120" w:rsidRPr="00D17F4F" w:rsidRDefault="00CE3120" w:rsidP="00CE3120">
      <w:pPr>
        <w:adjustRightInd w:val="0"/>
        <w:snapToGrid w:val="0"/>
        <w:ind w:firstLineChars="121" w:firstLine="254"/>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（3）</w:t>
      </w:r>
      <w:r>
        <w:rPr>
          <w:rFonts w:asciiTheme="minorEastAsia" w:eastAsiaTheme="minorEastAsia" w:hAnsiTheme="minorEastAsia" w:hint="eastAsia"/>
          <w:szCs w:val="21"/>
        </w:rPr>
        <w:t>加强</w:t>
      </w:r>
      <w:r w:rsidRPr="00D17F4F">
        <w:rPr>
          <w:rFonts w:asciiTheme="minorEastAsia" w:eastAsiaTheme="minorEastAsia" w:hAnsiTheme="minorEastAsia" w:hint="eastAsia"/>
          <w:szCs w:val="21"/>
        </w:rPr>
        <w:t>项目</w:t>
      </w:r>
      <w:r>
        <w:rPr>
          <w:rFonts w:asciiTheme="minorEastAsia" w:eastAsiaTheme="minorEastAsia" w:hAnsiTheme="minorEastAsia" w:hint="eastAsia"/>
          <w:szCs w:val="21"/>
        </w:rPr>
        <w:t>管控</w:t>
      </w:r>
      <w:r w:rsidRPr="00D17F4F">
        <w:rPr>
          <w:rFonts w:asciiTheme="minorEastAsia" w:eastAsiaTheme="minorEastAsia" w:hAnsiTheme="minorEastAsia" w:hint="eastAsia"/>
          <w:szCs w:val="21"/>
        </w:rPr>
        <w:t>，加快重点工程建设</w:t>
      </w:r>
    </w:p>
    <w:p w:rsidR="00CE3120" w:rsidRPr="00D17F4F" w:rsidRDefault="00CE3120" w:rsidP="00CE3120">
      <w:pPr>
        <w:adjustRightInd w:val="0"/>
        <w:snapToGrid w:val="0"/>
        <w:ind w:firstLineChars="200" w:firstLine="420"/>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按照“建设不完，优化不止”的理念，持续优化项目设计，加快大基地建设进度，努力实现“投资省、工期短、质量优、环境美、效益好”的建设目标，最大限度减少投资，快投产，早见效。</w:t>
      </w:r>
    </w:p>
    <w:p w:rsidR="00CE3120" w:rsidRPr="00D17F4F" w:rsidRDefault="00CE3120" w:rsidP="00CE3120">
      <w:pPr>
        <w:adjustRightInd w:val="0"/>
        <w:snapToGrid w:val="0"/>
        <w:ind w:firstLineChars="121" w:firstLine="254"/>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（4）强化管理练内功，夯实企业发展基础</w:t>
      </w:r>
    </w:p>
    <w:p w:rsidR="00CE3120" w:rsidRPr="00D17F4F" w:rsidRDefault="00CE3120" w:rsidP="00CE3120">
      <w:pPr>
        <w:adjustRightInd w:val="0"/>
        <w:snapToGrid w:val="0"/>
        <w:ind w:firstLineChars="171" w:firstLine="359"/>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一是继续抓紧抓好降本增效工作，通过加强技术创新和技术规范管理，优化矿山和冶炼企业</w:t>
      </w:r>
      <w:r>
        <w:rPr>
          <w:rFonts w:asciiTheme="minorEastAsia" w:eastAsiaTheme="minorEastAsia" w:hAnsiTheme="minorEastAsia" w:hint="eastAsia"/>
          <w:szCs w:val="21"/>
        </w:rPr>
        <w:t>“五率”等</w:t>
      </w:r>
      <w:r w:rsidRPr="00D17F4F">
        <w:rPr>
          <w:rFonts w:asciiTheme="minorEastAsia" w:eastAsiaTheme="minorEastAsia" w:hAnsiTheme="minorEastAsia" w:hint="eastAsia"/>
          <w:szCs w:val="21"/>
        </w:rPr>
        <w:t>主要生产指标、切实降低成本；二是全面开展对标工作，加快追赶先进步伐</w:t>
      </w:r>
      <w:r>
        <w:rPr>
          <w:rFonts w:ascii="宋体" w:hAnsi="宋体" w:cs="宋体" w:hint="eastAsia"/>
        </w:rPr>
        <w:t>，全面提升自身的管理质量和运营水平</w:t>
      </w:r>
      <w:r w:rsidRPr="00D17F4F">
        <w:rPr>
          <w:rFonts w:asciiTheme="minorEastAsia" w:eastAsiaTheme="minorEastAsia" w:hAnsiTheme="minorEastAsia" w:hint="eastAsia"/>
          <w:szCs w:val="21"/>
        </w:rPr>
        <w:t>；三是加强企业管理，深入推进管理提升工作。</w:t>
      </w:r>
    </w:p>
    <w:p w:rsidR="00CE3120" w:rsidRPr="00D17F4F" w:rsidRDefault="00CE3120" w:rsidP="00CE3120">
      <w:pPr>
        <w:adjustRightInd w:val="0"/>
        <w:snapToGrid w:val="0"/>
        <w:ind w:firstLineChars="121" w:firstLine="254"/>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（5）加强科技创新力度，提高科技进步贡献度</w:t>
      </w:r>
    </w:p>
    <w:p w:rsidR="00CE3120" w:rsidRPr="00D17F4F" w:rsidRDefault="00CE3120" w:rsidP="00CE3120">
      <w:pPr>
        <w:adjustRightInd w:val="0"/>
        <w:snapToGrid w:val="0"/>
        <w:ind w:firstLineChars="200" w:firstLine="420"/>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加强科技创新和管理，着力解决影响企业生产和经营的关键技术难题。产学研相结合，加强企业间、产业链上下游的合作创新，提高创新效率，降低创新风险。通过技术进步，提升黄金及相关产品的附加值，提高经济效益。</w:t>
      </w:r>
    </w:p>
    <w:p w:rsidR="00CE3120" w:rsidRDefault="00CE3120" w:rsidP="00CE3120">
      <w:pPr>
        <w:adjustRightInd w:val="0"/>
        <w:snapToGrid w:val="0"/>
        <w:ind w:firstLineChars="150" w:firstLine="315"/>
        <w:jc w:val="left"/>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（6）强化安全环保工作，大力推动生态文明建设</w:t>
      </w:r>
    </w:p>
    <w:p w:rsidR="00CE3120" w:rsidRPr="00D17F4F" w:rsidRDefault="00CE3120" w:rsidP="00CE3120">
      <w:pPr>
        <w:adjustRightInd w:val="0"/>
        <w:snapToGrid w:val="0"/>
        <w:ind w:firstLineChars="200" w:firstLine="420"/>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进一步树立和强化安全</w:t>
      </w:r>
      <w:r>
        <w:rPr>
          <w:rFonts w:asciiTheme="minorEastAsia" w:eastAsiaTheme="minorEastAsia" w:hAnsiTheme="minorEastAsia" w:hint="eastAsia"/>
          <w:szCs w:val="21"/>
        </w:rPr>
        <w:t>发展、绿色</w:t>
      </w:r>
      <w:r w:rsidRPr="00D17F4F">
        <w:rPr>
          <w:rFonts w:asciiTheme="minorEastAsia" w:eastAsiaTheme="minorEastAsia" w:hAnsiTheme="minorEastAsia" w:hint="eastAsia"/>
          <w:szCs w:val="21"/>
        </w:rPr>
        <w:t>发展的理念，着力加强安全环保基层、基础和基本功工作，提升企业本质安全度，构建安全生产长效机制。2014年重点开展五大安全专项检查工作，重点抓好“三废”和粉尘治理达标工程。</w:t>
      </w:r>
    </w:p>
    <w:p w:rsidR="00CE3120" w:rsidRPr="00D17F4F" w:rsidRDefault="00CE3120" w:rsidP="00CE3120">
      <w:pPr>
        <w:adjustRightInd w:val="0"/>
        <w:snapToGrid w:val="0"/>
        <w:ind w:firstLineChars="200" w:firstLine="420"/>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（7）加强与控股股东沟通，加快资产注入速度</w:t>
      </w:r>
    </w:p>
    <w:p w:rsidR="00CE3120" w:rsidRPr="00D17F4F" w:rsidRDefault="00CE3120" w:rsidP="00CE3120">
      <w:pPr>
        <w:adjustRightInd w:val="0"/>
        <w:snapToGrid w:val="0"/>
        <w:ind w:firstLineChars="200" w:firstLine="420"/>
        <w:divId w:val="156460109"/>
        <w:rPr>
          <w:rFonts w:asciiTheme="minorEastAsia" w:eastAsiaTheme="minorEastAsia" w:hAnsiTheme="minorEastAsia"/>
          <w:szCs w:val="21"/>
        </w:rPr>
      </w:pPr>
      <w:r w:rsidRPr="00D17F4F">
        <w:rPr>
          <w:rFonts w:asciiTheme="minorEastAsia" w:eastAsiaTheme="minorEastAsia" w:hAnsiTheme="minorEastAsia" w:hint="eastAsia"/>
          <w:szCs w:val="21"/>
        </w:rPr>
        <w:t>与控股股东共同对其现有企业进行摸底和梳理，制定2014年资产注入计划时间表，对</w:t>
      </w:r>
      <w:r w:rsidRPr="00D17F4F">
        <w:rPr>
          <w:rFonts w:asciiTheme="minorEastAsia" w:eastAsiaTheme="minorEastAsia" w:hAnsiTheme="minorEastAsia" w:hint="eastAsia"/>
          <w:szCs w:val="21"/>
        </w:rPr>
        <w:lastRenderedPageBreak/>
        <w:t>符合上市条件的优质资产，尽快完成收购，进一步推进黄金主业整体上市工作。</w:t>
      </w:r>
    </w:p>
    <w:p w:rsidR="00743B5F" w:rsidRPr="008C11E6" w:rsidRDefault="00743B5F" w:rsidP="00743B5F">
      <w:pPr>
        <w:adjustRightInd w:val="0"/>
        <w:snapToGrid w:val="0"/>
        <w:outlineLvl w:val="1"/>
        <w:divId w:val="156460109"/>
        <w:rPr>
          <w:rFonts w:asciiTheme="minorEastAsia" w:eastAsiaTheme="minorEastAsia" w:hAnsiTheme="minorEastAsia" w:cs="宋体"/>
          <w:kern w:val="0"/>
          <w:szCs w:val="21"/>
        </w:rPr>
      </w:pPr>
    </w:p>
    <w:p w:rsidR="009C6395" w:rsidRPr="00743B5F" w:rsidRDefault="009C6395" w:rsidP="00743B5F">
      <w:pPr>
        <w:adjustRightInd w:val="0"/>
        <w:snapToGrid w:val="0"/>
        <w:ind w:firstLineChars="200" w:firstLine="422"/>
        <w:outlineLvl w:val="1"/>
        <w:divId w:val="156460109"/>
        <w:rPr>
          <w:rFonts w:asciiTheme="minorEastAsia" w:eastAsiaTheme="minorEastAsia" w:hAnsiTheme="minorEastAsia" w:cs="宋体"/>
          <w:b/>
          <w:bCs/>
          <w:kern w:val="36"/>
        </w:rPr>
      </w:pPr>
      <w:r w:rsidRPr="00743B5F">
        <w:rPr>
          <w:rFonts w:asciiTheme="minorEastAsia" w:eastAsiaTheme="minorEastAsia" w:hAnsiTheme="minorEastAsia" w:cs="宋体" w:hint="eastAsia"/>
          <w:b/>
          <w:bCs/>
          <w:kern w:val="36"/>
        </w:rPr>
        <w:t>经董事会审议的报告期利润分配预案或公积金转增股本预案：</w:t>
      </w:r>
    </w:p>
    <w:p w:rsidR="009C6395" w:rsidRPr="00743B5F" w:rsidRDefault="009C6395" w:rsidP="00743B5F">
      <w:pPr>
        <w:adjustRightInd w:val="0"/>
        <w:snapToGrid w:val="0"/>
        <w:ind w:firstLineChars="200" w:firstLine="420"/>
        <w:divId w:val="156460109"/>
        <w:rPr>
          <w:rFonts w:asciiTheme="minorEastAsia" w:eastAsiaTheme="minorEastAsia" w:hAnsiTheme="minorEastAsia"/>
          <w:szCs w:val="21"/>
        </w:rPr>
      </w:pPr>
      <w:r w:rsidRPr="00743B5F">
        <w:rPr>
          <w:rFonts w:asciiTheme="minorEastAsia" w:eastAsiaTheme="minorEastAsia" w:hAnsiTheme="minorEastAsia" w:hint="eastAsia"/>
          <w:szCs w:val="21"/>
        </w:rPr>
        <w:t>拟以公司</w:t>
      </w:r>
      <w:r w:rsidRPr="00743B5F">
        <w:rPr>
          <w:rFonts w:asciiTheme="minorEastAsia" w:eastAsiaTheme="minorEastAsia" w:hAnsiTheme="minorEastAsia"/>
          <w:szCs w:val="21"/>
        </w:rPr>
        <w:t>201</w:t>
      </w:r>
      <w:r w:rsidRPr="00743B5F">
        <w:rPr>
          <w:rFonts w:asciiTheme="minorEastAsia" w:eastAsiaTheme="minorEastAsia" w:hAnsiTheme="minorEastAsia" w:hint="eastAsia"/>
          <w:szCs w:val="21"/>
        </w:rPr>
        <w:t>3年</w:t>
      </w:r>
      <w:r w:rsidRPr="00743B5F">
        <w:rPr>
          <w:rFonts w:asciiTheme="minorEastAsia" w:eastAsiaTheme="minorEastAsia" w:hAnsiTheme="minorEastAsia"/>
          <w:szCs w:val="21"/>
        </w:rPr>
        <w:t>12</w:t>
      </w:r>
      <w:r w:rsidRPr="00743B5F">
        <w:rPr>
          <w:rFonts w:asciiTheme="minorEastAsia" w:eastAsiaTheme="minorEastAsia" w:hAnsiTheme="minorEastAsia" w:hint="eastAsia"/>
          <w:szCs w:val="21"/>
        </w:rPr>
        <w:t>月</w:t>
      </w:r>
      <w:r w:rsidRPr="00743B5F">
        <w:rPr>
          <w:rFonts w:asciiTheme="minorEastAsia" w:eastAsiaTheme="minorEastAsia" w:hAnsiTheme="minorEastAsia"/>
          <w:szCs w:val="21"/>
        </w:rPr>
        <w:t>31</w:t>
      </w:r>
      <w:r w:rsidRPr="00743B5F">
        <w:rPr>
          <w:rFonts w:asciiTheme="minorEastAsia" w:eastAsiaTheme="minorEastAsia" w:hAnsiTheme="minorEastAsia" w:hint="eastAsia"/>
          <w:szCs w:val="21"/>
        </w:rPr>
        <w:t>日的总股本</w:t>
      </w:r>
      <w:r w:rsidRPr="00743B5F">
        <w:rPr>
          <w:rFonts w:asciiTheme="minorEastAsia" w:eastAsiaTheme="minorEastAsia" w:hAnsiTheme="minorEastAsia"/>
          <w:szCs w:val="21"/>
        </w:rPr>
        <w:t>2,943,228,797</w:t>
      </w:r>
      <w:r w:rsidRPr="00743B5F">
        <w:rPr>
          <w:rFonts w:asciiTheme="minorEastAsia" w:eastAsiaTheme="minorEastAsia" w:hAnsiTheme="minorEastAsia" w:hint="eastAsia"/>
          <w:szCs w:val="21"/>
        </w:rPr>
        <w:t>股为基数，每10股派发现金股利0.44元（含税），预计支付现金</w:t>
      </w:r>
      <w:r w:rsidRPr="00743B5F">
        <w:rPr>
          <w:rFonts w:asciiTheme="minorEastAsia" w:eastAsiaTheme="minorEastAsia" w:hAnsiTheme="minorEastAsia"/>
        </w:rPr>
        <w:t>129,502,067.0</w:t>
      </w:r>
      <w:r w:rsidRPr="00743B5F">
        <w:rPr>
          <w:rFonts w:asciiTheme="minorEastAsia" w:eastAsiaTheme="minorEastAsia" w:hAnsiTheme="minorEastAsia" w:hint="eastAsia"/>
        </w:rPr>
        <w:t>7</w:t>
      </w:r>
      <w:r w:rsidRPr="00743B5F">
        <w:rPr>
          <w:rFonts w:asciiTheme="minorEastAsia" w:eastAsiaTheme="minorEastAsia" w:hAnsiTheme="minorEastAsia" w:hint="eastAsia"/>
          <w:szCs w:val="21"/>
        </w:rPr>
        <w:t>元，占当年归属于上市公司股东净利润的30.04</w:t>
      </w:r>
      <w:r w:rsidRPr="00743B5F">
        <w:rPr>
          <w:rFonts w:asciiTheme="minorEastAsia" w:eastAsiaTheme="minorEastAsia" w:hAnsiTheme="minorEastAsia"/>
          <w:szCs w:val="21"/>
        </w:rPr>
        <w:t>%</w:t>
      </w:r>
      <w:r w:rsidRPr="00743B5F">
        <w:rPr>
          <w:rFonts w:asciiTheme="minorEastAsia" w:eastAsiaTheme="minorEastAsia" w:hAnsiTheme="minorEastAsia" w:hint="eastAsia"/>
          <w:szCs w:val="21"/>
        </w:rPr>
        <w:t>。2013年度的利润分配方案符合公司章程的相关规定，公司独立董事同意该利润分配方案并发表独立意见。</w:t>
      </w:r>
    </w:p>
    <w:p w:rsidR="009C6395" w:rsidRPr="00743B5F" w:rsidRDefault="009C6395" w:rsidP="00743B5F">
      <w:pPr>
        <w:adjustRightInd w:val="0"/>
        <w:snapToGrid w:val="0"/>
        <w:outlineLvl w:val="1"/>
        <w:divId w:val="156460109"/>
        <w:rPr>
          <w:rFonts w:asciiTheme="minorEastAsia" w:eastAsiaTheme="minorEastAsia" w:hAnsiTheme="minorEastAsia" w:cs="宋体"/>
          <w:b/>
          <w:bCs/>
          <w:kern w:val="36"/>
        </w:rPr>
      </w:pPr>
    </w:p>
    <w:p w:rsidR="00782A22" w:rsidRPr="00743B5F" w:rsidRDefault="00782A22" w:rsidP="00743B5F">
      <w:pPr>
        <w:adjustRightInd w:val="0"/>
        <w:snapToGrid w:val="0"/>
        <w:outlineLvl w:val="1"/>
        <w:divId w:val="156460109"/>
        <w:rPr>
          <w:rFonts w:asciiTheme="minorEastAsia" w:eastAsiaTheme="minorEastAsia" w:hAnsiTheme="minorEastAsia"/>
          <w:b/>
          <w:bCs/>
          <w:kern w:val="36"/>
          <w:szCs w:val="18"/>
        </w:rPr>
      </w:pPr>
      <w:r w:rsidRPr="00743B5F">
        <w:rPr>
          <w:rFonts w:asciiTheme="minorEastAsia" w:eastAsiaTheme="minorEastAsia" w:hAnsiTheme="minorEastAsia" w:cs="宋体" w:hint="eastAsia"/>
          <w:b/>
          <w:bCs/>
          <w:kern w:val="36"/>
        </w:rPr>
        <w:t xml:space="preserve">四、 </w:t>
      </w:r>
      <w:r w:rsidRPr="00743B5F">
        <w:rPr>
          <w:rFonts w:asciiTheme="minorEastAsia" w:eastAsiaTheme="minorEastAsia" w:hAnsiTheme="minorEastAsia" w:hint="eastAsia"/>
          <w:b/>
          <w:bCs/>
          <w:kern w:val="36"/>
        </w:rPr>
        <w:t xml:space="preserve"> 涉及财务报告的相关事项</w:t>
      </w:r>
    </w:p>
    <w:p w:rsidR="00782A22" w:rsidRPr="00743B5F" w:rsidRDefault="00782A22" w:rsidP="00743B5F">
      <w:pPr>
        <w:widowControl/>
        <w:adjustRightInd w:val="0"/>
        <w:snapToGrid w:val="0"/>
        <w:divId w:val="156460109"/>
        <w:rPr>
          <w:rFonts w:asciiTheme="minorEastAsia" w:eastAsiaTheme="minorEastAsia" w:hAnsiTheme="minorEastAsia" w:cs="宋体"/>
          <w:kern w:val="0"/>
          <w:szCs w:val="21"/>
        </w:rPr>
      </w:pPr>
    </w:p>
    <w:p w:rsidR="00782A22" w:rsidRPr="00743B5F" w:rsidRDefault="00782A22" w:rsidP="00743B5F">
      <w:pPr>
        <w:adjustRightInd w:val="0"/>
        <w:snapToGrid w:val="0"/>
        <w:divId w:val="156460109"/>
        <w:rPr>
          <w:rFonts w:asciiTheme="minorEastAsia" w:eastAsiaTheme="minorEastAsia" w:hAnsiTheme="minorEastAsia"/>
          <w:szCs w:val="18"/>
        </w:rPr>
      </w:pPr>
      <w:r w:rsidRPr="00743B5F">
        <w:rPr>
          <w:rFonts w:asciiTheme="minorEastAsia" w:eastAsiaTheme="minorEastAsia" w:hAnsiTheme="minorEastAsia" w:cs="宋体" w:hint="eastAsia"/>
        </w:rPr>
        <w:t xml:space="preserve">4.1 </w:t>
      </w:r>
      <w:r w:rsidRPr="00743B5F">
        <w:rPr>
          <w:rFonts w:asciiTheme="minorEastAsia" w:eastAsiaTheme="minorEastAsia" w:hAnsiTheme="minorEastAsia" w:hint="eastAsia"/>
        </w:rPr>
        <w:t xml:space="preserve"> 与上年度财务报告相比，对财务报表合并范围发生变化的，公司应当作出具体说明。</w:t>
      </w:r>
    </w:p>
    <w:p w:rsidR="00782A22" w:rsidRPr="00743B5F" w:rsidRDefault="00782A22" w:rsidP="00743B5F">
      <w:pPr>
        <w:adjustRightInd w:val="0"/>
        <w:snapToGrid w:val="0"/>
        <w:ind w:firstLineChars="200" w:firstLine="420"/>
        <w:divId w:val="156460109"/>
        <w:rPr>
          <w:rFonts w:asciiTheme="minorEastAsia" w:eastAsiaTheme="minorEastAsia" w:hAnsiTheme="minorEastAsia"/>
        </w:rPr>
      </w:pPr>
      <w:r w:rsidRPr="00743B5F">
        <w:rPr>
          <w:rFonts w:asciiTheme="minorEastAsia" w:eastAsiaTheme="minorEastAsia" w:hAnsiTheme="minorEastAsia" w:hint="eastAsia"/>
        </w:rPr>
        <w:t>合并范围发生变更的情况详见</w:t>
      </w:r>
      <w:r w:rsidR="00100DCA">
        <w:rPr>
          <w:rFonts w:asciiTheme="minorEastAsia" w:eastAsiaTheme="minorEastAsia" w:hAnsiTheme="minorEastAsia" w:hint="eastAsia"/>
        </w:rPr>
        <w:t>年报全文</w:t>
      </w:r>
      <w:r w:rsidRPr="00743B5F">
        <w:rPr>
          <w:rFonts w:asciiTheme="minorEastAsia" w:eastAsiaTheme="minorEastAsia" w:hAnsiTheme="minorEastAsia" w:hint="eastAsia"/>
        </w:rPr>
        <w:t>附注六、3、4。</w:t>
      </w:r>
    </w:p>
    <w:p w:rsidR="00782A22" w:rsidRPr="00743B5F" w:rsidRDefault="00782A22" w:rsidP="00743B5F">
      <w:pPr>
        <w:widowControl/>
        <w:adjustRightInd w:val="0"/>
        <w:snapToGrid w:val="0"/>
        <w:divId w:val="156460109"/>
        <w:rPr>
          <w:rFonts w:asciiTheme="minorEastAsia" w:eastAsiaTheme="minorEastAsia" w:hAnsiTheme="minorEastAsia" w:cs="宋体"/>
          <w:szCs w:val="21"/>
        </w:rPr>
      </w:pPr>
    </w:p>
    <w:p w:rsidR="00D56DF8" w:rsidRPr="002D61A9" w:rsidRDefault="00D56DF8" w:rsidP="002D61A9">
      <w:pPr>
        <w:jc w:val="center"/>
        <w:rPr>
          <w:rFonts w:ascii="黑体" w:eastAsia="黑体"/>
          <w:b/>
          <w:sz w:val="32"/>
          <w:szCs w:val="32"/>
        </w:rPr>
      </w:pPr>
    </w:p>
    <w:sectPr w:rsidR="00D56DF8" w:rsidRPr="002D61A9" w:rsidSect="001875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14" w:rsidRDefault="00151914">
      <w:r>
        <w:separator/>
      </w:r>
    </w:p>
  </w:endnote>
  <w:endnote w:type="continuationSeparator" w:id="1">
    <w:p w:rsidR="00151914" w:rsidRDefault="0015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6" w:rsidRDefault="00FA71FA" w:rsidP="00D66F63">
    <w:pPr>
      <w:pStyle w:val="a5"/>
      <w:framePr w:wrap="around" w:vAnchor="text" w:hAnchor="margin" w:xAlign="center" w:y="1"/>
      <w:rPr>
        <w:rStyle w:val="a6"/>
      </w:rPr>
    </w:pPr>
    <w:r>
      <w:rPr>
        <w:rStyle w:val="a6"/>
      </w:rPr>
      <w:fldChar w:fldCharType="begin"/>
    </w:r>
    <w:r w:rsidR="00880D06">
      <w:rPr>
        <w:rStyle w:val="a6"/>
      </w:rPr>
      <w:instrText xml:space="preserve">PAGE  </w:instrText>
    </w:r>
    <w:r>
      <w:rPr>
        <w:rStyle w:val="a6"/>
      </w:rPr>
      <w:fldChar w:fldCharType="end"/>
    </w:r>
  </w:p>
  <w:p w:rsidR="00880D06" w:rsidRDefault="00880D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6735"/>
      <w:docPartObj>
        <w:docPartGallery w:val="Page Numbers (Bottom of Page)"/>
        <w:docPartUnique/>
      </w:docPartObj>
    </w:sdtPr>
    <w:sdtContent>
      <w:p w:rsidR="00880D06" w:rsidRDefault="00FA71FA" w:rsidP="00DB3227">
        <w:pPr>
          <w:pStyle w:val="a5"/>
          <w:jc w:val="center"/>
        </w:pPr>
        <w:fldSimple w:instr=" PAGE   \* MERGEFORMAT ">
          <w:r w:rsidR="001875B3" w:rsidRPr="001875B3">
            <w:rPr>
              <w:noProof/>
              <w:lang w:val="zh-CN"/>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B3" w:rsidRDefault="001875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14" w:rsidRDefault="00151914">
      <w:r>
        <w:separator/>
      </w:r>
    </w:p>
  </w:footnote>
  <w:footnote w:type="continuationSeparator" w:id="1">
    <w:p w:rsidR="00151914" w:rsidRDefault="00151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B3" w:rsidRDefault="001875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A" w:rsidRDefault="00782A22" w:rsidP="00782A22">
    <w:pPr>
      <w:pStyle w:val="a4"/>
    </w:pPr>
    <w:r>
      <w:rPr>
        <w:rFonts w:hint="eastAsia"/>
      </w:rPr>
      <w:t>中金黄金股份有限公司</w:t>
    </w:r>
    <w:r>
      <w:rPr>
        <w:rFonts w:hint="eastAsia"/>
      </w:rPr>
      <w:t xml:space="preserve"> 2013</w:t>
    </w:r>
    <w:r>
      <w:rPr>
        <w:rFonts w:hint="eastAsia"/>
      </w:rPr>
      <w:t>年年度报告摘要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B3" w:rsidRDefault="001875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1A9"/>
    <w:rsid w:val="000749AC"/>
    <w:rsid w:val="00100DCA"/>
    <w:rsid w:val="00151914"/>
    <w:rsid w:val="001667B6"/>
    <w:rsid w:val="001875B3"/>
    <w:rsid w:val="002B6805"/>
    <w:rsid w:val="002D61A9"/>
    <w:rsid w:val="003928FE"/>
    <w:rsid w:val="003F1016"/>
    <w:rsid w:val="005A28B2"/>
    <w:rsid w:val="00644CBD"/>
    <w:rsid w:val="00743B5F"/>
    <w:rsid w:val="00782A22"/>
    <w:rsid w:val="00790F28"/>
    <w:rsid w:val="007B019D"/>
    <w:rsid w:val="00862765"/>
    <w:rsid w:val="00880D06"/>
    <w:rsid w:val="008B6C0C"/>
    <w:rsid w:val="008C11E6"/>
    <w:rsid w:val="008C5826"/>
    <w:rsid w:val="008D5856"/>
    <w:rsid w:val="009B3A9F"/>
    <w:rsid w:val="009C6395"/>
    <w:rsid w:val="00A24EC9"/>
    <w:rsid w:val="00A33564"/>
    <w:rsid w:val="00AA3278"/>
    <w:rsid w:val="00BB1C95"/>
    <w:rsid w:val="00C10A93"/>
    <w:rsid w:val="00C2407A"/>
    <w:rsid w:val="00CA05E5"/>
    <w:rsid w:val="00CE3120"/>
    <w:rsid w:val="00D56DF8"/>
    <w:rsid w:val="00D66F63"/>
    <w:rsid w:val="00DB3227"/>
    <w:rsid w:val="00E033B1"/>
    <w:rsid w:val="00E34F23"/>
    <w:rsid w:val="00EC244A"/>
    <w:rsid w:val="00F37EA4"/>
    <w:rsid w:val="00F46C14"/>
    <w:rsid w:val="00FA7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A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A3278"/>
    <w:pPr>
      <w:shd w:val="clear" w:color="auto" w:fill="000080"/>
    </w:pPr>
  </w:style>
  <w:style w:type="paragraph" w:styleId="a4">
    <w:name w:val="header"/>
    <w:basedOn w:val="a"/>
    <w:rsid w:val="00AA3278"/>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AA3278"/>
    <w:pPr>
      <w:tabs>
        <w:tab w:val="center" w:pos="4153"/>
        <w:tab w:val="right" w:pos="8306"/>
      </w:tabs>
      <w:snapToGrid w:val="0"/>
      <w:jc w:val="left"/>
    </w:pPr>
    <w:rPr>
      <w:sz w:val="18"/>
      <w:szCs w:val="18"/>
    </w:rPr>
  </w:style>
  <w:style w:type="character" w:styleId="a6">
    <w:name w:val="page number"/>
    <w:basedOn w:val="a0"/>
    <w:rsid w:val="00880D06"/>
  </w:style>
  <w:style w:type="paragraph" w:styleId="a7">
    <w:name w:val="Balloon Text"/>
    <w:basedOn w:val="a"/>
    <w:link w:val="Char0"/>
    <w:rsid w:val="007B019D"/>
    <w:rPr>
      <w:sz w:val="18"/>
      <w:szCs w:val="18"/>
    </w:rPr>
  </w:style>
  <w:style w:type="character" w:customStyle="1" w:styleId="Char0">
    <w:name w:val="批注框文本 Char"/>
    <w:basedOn w:val="a0"/>
    <w:link w:val="a7"/>
    <w:rsid w:val="007B019D"/>
    <w:rPr>
      <w:kern w:val="2"/>
      <w:sz w:val="18"/>
      <w:szCs w:val="18"/>
    </w:rPr>
  </w:style>
  <w:style w:type="character" w:customStyle="1" w:styleId="Char">
    <w:name w:val="页脚 Char"/>
    <w:basedOn w:val="a0"/>
    <w:link w:val="a5"/>
    <w:uiPriority w:val="99"/>
    <w:rsid w:val="00DB3227"/>
    <w:rPr>
      <w:kern w:val="2"/>
      <w:sz w:val="18"/>
      <w:szCs w:val="18"/>
    </w:rPr>
  </w:style>
</w:styles>
</file>

<file path=word/webSettings.xml><?xml version="1.0" encoding="utf-8"?>
<w:webSettings xmlns:r="http://schemas.openxmlformats.org/officeDocument/2006/relationships" xmlns:w="http://schemas.openxmlformats.org/wordprocessingml/2006/main">
  <w:divs>
    <w:div w:id="1564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FCCE-7057-489B-8C7E-A8F72EDF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667</Words>
  <Characters>3806</Characters>
  <Application>Microsoft Office Word</Application>
  <DocSecurity>0</DocSecurity>
  <Lines>31</Lines>
  <Paragraphs>8</Paragraphs>
  <ScaleCrop>false</ScaleCrop>
  <Company>微软中国</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#COMP_NAME_CN#</dc:title>
  <dc:subject/>
  <dc:creator>Administrator</dc:creator>
  <cp:keywords/>
  <dc:description/>
  <cp:lastModifiedBy>姜杉</cp:lastModifiedBy>
  <cp:revision>16</cp:revision>
  <dcterms:created xsi:type="dcterms:W3CDTF">2014-04-16T01:32:00Z</dcterms:created>
  <dcterms:modified xsi:type="dcterms:W3CDTF">2014-04-18T02:54:00Z</dcterms:modified>
</cp:coreProperties>
</file>